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楷体" w:hAnsi="楷体" w:eastAsia="楷体" w:cs="楷体"/>
          <w:b/>
          <w:bCs/>
          <w:sz w:val="30"/>
          <w:szCs w:val="30"/>
        </w:rPr>
      </w:pPr>
      <w:r>
        <w:rPr>
          <w:rFonts w:hint="eastAsia" w:ascii="楷体" w:hAnsi="楷体" w:eastAsia="楷体" w:cs="楷体"/>
          <w:b/>
          <w:bCs/>
          <w:color w:val="000000"/>
          <w:kern w:val="0"/>
          <w:sz w:val="30"/>
          <w:szCs w:val="30"/>
          <w:lang w:val="en-US" w:eastAsia="zh-CN" w:bidi="ar"/>
        </w:rPr>
        <w:t>超声药物透入治疗仪技术规格及性能参数</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 xml:space="preserve">1.设备用途：设备可在康复科、中医科、社区门诊、妇科、儿科、内 </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科及需要超声导药的科室应用。</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2.规格性能</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2.1 ≥7</w:t>
      </w:r>
      <w:r>
        <w:rPr>
          <w:rFonts w:hint="default" w:ascii="楷体" w:hAnsi="楷体" w:eastAsia="楷体" w:cs="楷体"/>
          <w:color w:val="000000"/>
          <w:kern w:val="0"/>
          <w:sz w:val="28"/>
          <w:szCs w:val="28"/>
          <w:lang w:val="en-US" w:eastAsia="zh-CN" w:bidi="ar"/>
        </w:rPr>
        <w:t>’</w:t>
      </w:r>
      <w:r>
        <w:rPr>
          <w:rFonts w:hint="eastAsia" w:ascii="楷体" w:hAnsi="楷体" w:eastAsia="楷体" w:cs="楷体"/>
          <w:color w:val="000000"/>
          <w:kern w:val="0"/>
          <w:sz w:val="28"/>
          <w:szCs w:val="28"/>
          <w:lang w:val="en-US" w:eastAsia="zh-CN" w:bidi="ar"/>
        </w:rPr>
        <w:t>高分辨率触摸屏操作，内置图文操作说明。</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2.2 两路超声输出及两路脉冲输出，可同步或异步治疗。</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2.3 治疗深度 5 级可调，超声治疗强度 10 级可调。</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2.4 超声和脉冲可单独治疗，也可联合治疗。</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2.5 ★主要性能：超声药物透入治疗、脉冲电治疗、中医分证型治疗。</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3.技术参数</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3.1 超声工作频率 1.1MHz,功率 2w,有效声强 ≤</w:t>
      </w:r>
      <m:oMath>
        <m:sSup>
          <m:sSupPr>
            <m:ctrlPr>
              <w:rPr>
                <w:rFonts w:hint="eastAsia" w:ascii="Cambria Math" w:hAnsi="Cambria Math" w:eastAsia="楷体" w:cs="楷体"/>
                <w:color w:val="000000"/>
                <w:kern w:val="0"/>
                <w:sz w:val="28"/>
                <w:szCs w:val="28"/>
                <w:lang w:val="en-US" w:eastAsia="zh-CN" w:bidi="ar"/>
              </w:rPr>
            </m:ctrlPr>
          </m:sSupPr>
          <m:e>
            <m:r>
              <m:rPr>
                <m:sty m:val="p"/>
              </m:rPr>
              <w:rPr>
                <w:rFonts w:hint="eastAsia" w:ascii="Cambria Math" w:hAnsi="Cambria Math" w:eastAsia="楷体" w:cs="楷体"/>
                <w:color w:val="000000"/>
                <w:kern w:val="0"/>
                <w:sz w:val="28"/>
                <w:szCs w:val="28"/>
                <w:lang w:val="en-US" w:eastAsia="zh-CN" w:bidi="ar"/>
              </w:rPr>
              <m:t>1w/</m:t>
            </m:r>
            <m:r>
              <m:rPr>
                <m:sty m:val="p"/>
              </m:rPr>
              <w:rPr>
                <w:rFonts w:hint="eastAsia" w:ascii="Cambria Math" w:hAnsi="Cambria Math" w:eastAsia="楷体" w:cs="楷体"/>
                <w:color w:val="000000"/>
                <w:kern w:val="0"/>
                <w:sz w:val="28"/>
                <w:szCs w:val="28"/>
                <w:lang w:val="en-US" w:eastAsia="zh-CN" w:bidi="ar"/>
              </w:rPr>
              <m:t>cm</m:t>
            </m:r>
            <m:ctrlPr>
              <w:rPr>
                <w:rFonts w:hint="eastAsia" w:ascii="Cambria Math" w:hAnsi="Cambria Math" w:eastAsia="楷体" w:cs="楷体"/>
                <w:color w:val="000000"/>
                <w:kern w:val="0"/>
                <w:sz w:val="28"/>
                <w:szCs w:val="28"/>
                <w:lang w:val="en-US" w:eastAsia="zh-CN" w:bidi="ar"/>
              </w:rPr>
            </m:ctrlPr>
          </m:e>
          <m:sup>
            <m:r>
              <m:rPr>
                <m:sty m:val="p"/>
              </m:rPr>
              <w:rPr>
                <w:rFonts w:hint="eastAsia" w:ascii="Cambria Math" w:hAnsi="Cambria Math" w:eastAsia="楷体" w:cs="楷体"/>
                <w:color w:val="000000"/>
                <w:kern w:val="0"/>
                <w:sz w:val="28"/>
                <w:szCs w:val="28"/>
                <w:lang w:val="en-US" w:eastAsia="zh-CN" w:bidi="ar"/>
              </w:rPr>
              <m:t>2</m:t>
            </m:r>
            <m:ctrlPr>
              <w:rPr>
                <w:rFonts w:hint="eastAsia" w:ascii="Cambria Math" w:hAnsi="Cambria Math" w:eastAsia="楷体" w:cs="楷体"/>
                <w:color w:val="000000"/>
                <w:kern w:val="0"/>
                <w:sz w:val="28"/>
                <w:szCs w:val="28"/>
                <w:lang w:val="en-US" w:eastAsia="zh-CN" w:bidi="ar"/>
              </w:rPr>
            </m:ctrlPr>
          </m:sup>
        </m:sSup>
      </m:oMath>
      <w:r>
        <w:rPr>
          <w:rFonts w:hint="eastAsia" w:ascii="楷体" w:hAnsi="楷体" w:eastAsia="楷体" w:cs="楷体"/>
          <w:color w:val="000000"/>
          <w:kern w:val="0"/>
          <w:sz w:val="28"/>
          <w:szCs w:val="28"/>
          <w:lang w:val="en-US" w:eastAsia="zh-CN" w:bidi="ar"/>
        </w:rPr>
        <w:t>,波束类型为发散型，不均匀性系数不超过 8.0，输入功率 60～80vA。</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3.2 ★分证型处方调制：2-4KHz＆0-150H，载波为占空比 1:2 的方</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波，电致孔脉冲：3ms 的脉冲波,输出电流 50—100mA。</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3.3 脉冲输出强度 0-99 级可调。</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3.4 ★治疗深度 1-5 级，超声功率 1-10 级可调。</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3.5 治疗电极脱落自动报警功能。</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参考型号：ABE-CT4 型</w:t>
      </w:r>
      <w:bookmarkStart w:id="0" w:name="_GoBack"/>
      <w:bookmarkEnd w:id="0"/>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color w:val="000000"/>
          <w:kern w:val="0"/>
          <w:sz w:val="28"/>
          <w:szCs w:val="28"/>
          <w:lang w:val="en-US" w:eastAsia="zh-CN" w:bidi="ar"/>
        </w:rPr>
        <w:t>技术规格书中标注“★”号的为关键技术参数，对这些关键技术参数的任何偏离将不能满足临床治疗的需要。</w:t>
      </w:r>
    </w:p>
    <w:p>
      <w:pPr>
        <w:rPr>
          <w:rFonts w:hint="eastAsia"/>
        </w:rPr>
      </w:pPr>
    </w:p>
    <w:p>
      <w:pPr>
        <w:rPr>
          <w:rFonts w:hint="eastAsia"/>
        </w:rPr>
      </w:pPr>
    </w:p>
    <w:p>
      <w:pPr>
        <w:rPr>
          <w:rFonts w:hint="eastAsia"/>
        </w:rPr>
      </w:pPr>
    </w:p>
    <w:p>
      <w:pPr>
        <w:rPr>
          <w:rFonts w:hint="eastAsia"/>
        </w:rPr>
      </w:pPr>
    </w:p>
    <w:p>
      <w:pPr>
        <w:keepNext w:val="0"/>
        <w:keepLines w:val="0"/>
        <w:widowControl/>
        <w:suppressLineNumbers w:val="0"/>
        <w:jc w:val="center"/>
        <w:rPr>
          <w:rFonts w:hint="eastAsia" w:ascii="楷体" w:hAnsi="楷体" w:eastAsia="楷体" w:cs="楷体"/>
          <w:b/>
          <w:bCs/>
          <w:sz w:val="30"/>
          <w:szCs w:val="30"/>
        </w:rPr>
      </w:pPr>
      <w:r>
        <w:rPr>
          <w:rFonts w:hint="eastAsia" w:ascii="楷体" w:hAnsi="楷体" w:eastAsia="楷体" w:cs="楷体"/>
          <w:b/>
          <w:bCs/>
          <w:color w:val="000000"/>
          <w:kern w:val="0"/>
          <w:sz w:val="30"/>
          <w:szCs w:val="30"/>
          <w:lang w:val="en-US" w:eastAsia="zh-CN" w:bidi="ar"/>
        </w:rPr>
        <w:t>眼球突出计技术规格及性能参数</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应用等腰直角三角形的光学玻璃棱镜将角膜顶点和刻度标尺同时通过斜面的反射投影至棱镜前面，能精确测量眼球突出于外框缘的高度。</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技术参数:</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眼突测量范围:0-35mm</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眶距测量范围:80-120mm</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参考型号：MR-97</w:t>
      </w:r>
    </w:p>
    <w:p>
      <w:pPr>
        <w:keepNext w:val="0"/>
        <w:keepLines w:val="0"/>
        <w:widowControl/>
        <w:suppressLineNumbers w:val="0"/>
        <w:jc w:val="left"/>
        <w:rPr>
          <w:rFonts w:hint="eastAsia" w:ascii="楷体" w:hAnsi="楷体" w:eastAsia="楷体" w:cs="楷体"/>
          <w:color w:val="00000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B14D2"/>
    <w:rsid w:val="13396F80"/>
    <w:rsid w:val="192F3615"/>
    <w:rsid w:val="1A087960"/>
    <w:rsid w:val="3DA91811"/>
    <w:rsid w:val="5ABB14D2"/>
    <w:rsid w:val="78E36768"/>
    <w:rsid w:val="7FD65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2023-07-03T02:37:00Z</dcterms:created>
  <dc:creator>cgz</dc:creator>
  <cp:lastModifiedBy>cgz</cp:lastModifiedBy>
  <dcterms:modified xsi:type="dcterms:W3CDTF">2023-07-03T02:50:09Z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2CBE4C60F4704FA4B93476EB18C95B36</vt:lpwstr>
  </property>
</Properties>
</file>