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both"/>
        <w:rPr>
          <w:rFonts w:hint="default" w:ascii="宋体" w:hAnsi="宋体" w:eastAsia="宋体" w:cs="黑体"/>
          <w:color w:val="auto"/>
          <w:sz w:val="28"/>
          <w:szCs w:val="28"/>
          <w:lang w:val="en-US" w:eastAsia="zh-CN"/>
        </w:rPr>
      </w:pPr>
      <w:r>
        <w:rPr>
          <w:rFonts w:hint="eastAsia" w:ascii="宋体" w:hAnsi="宋体" w:cs="黑体"/>
          <w:color w:val="auto"/>
          <w:sz w:val="28"/>
          <w:szCs w:val="28"/>
          <w:lang w:val="en-US" w:eastAsia="zh-CN"/>
        </w:rPr>
        <w:t>海口分院专线(A线</w:t>
      </w:r>
      <w:bookmarkStart w:id="1" w:name="_GoBack"/>
      <w:bookmarkEnd w:id="1"/>
      <w:r>
        <w:rPr>
          <w:rFonts w:hint="eastAsia" w:ascii="宋体" w:hAnsi="宋体" w:cs="黑体"/>
          <w:color w:val="auto"/>
          <w:sz w:val="28"/>
          <w:szCs w:val="28"/>
          <w:lang w:val="en-US" w:eastAsia="zh-CN"/>
        </w:rPr>
        <w:t>)技术指标</w:t>
      </w:r>
    </w:p>
    <w:p>
      <w:pPr>
        <w:tabs>
          <w:tab w:val="left" w:pos="126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一、根据</w:t>
      </w:r>
      <w:r>
        <w:rPr>
          <w:rFonts w:hint="eastAsia" w:ascii="宋体" w:hAnsi="宋体" w:cs="宋体"/>
          <w:color w:val="auto"/>
          <w:sz w:val="24"/>
          <w:szCs w:val="24"/>
          <w:lang w:eastAsia="zh-CN"/>
        </w:rPr>
        <w:t>昆明医科大学第二附属医院</w:t>
      </w:r>
      <w:r>
        <w:rPr>
          <w:rFonts w:hint="eastAsia" w:ascii="宋体" w:hAnsi="宋体" w:cs="宋体"/>
          <w:color w:val="auto"/>
          <w:sz w:val="24"/>
          <w:szCs w:val="24"/>
        </w:rPr>
        <w:t>业务需求，现需采购一条1</w:t>
      </w:r>
      <w:r>
        <w:rPr>
          <w:rFonts w:ascii="宋体" w:hAnsi="宋体" w:cs="宋体"/>
          <w:color w:val="auto"/>
          <w:sz w:val="24"/>
          <w:szCs w:val="24"/>
        </w:rPr>
        <w:t>00</w:t>
      </w:r>
      <w:r>
        <w:rPr>
          <w:rFonts w:hint="eastAsia" w:ascii="宋体" w:hAnsi="宋体" w:cs="宋体"/>
          <w:color w:val="auto"/>
          <w:sz w:val="24"/>
          <w:szCs w:val="24"/>
        </w:rPr>
        <w:t>M数据专线对两个院区之间互联。</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1、供应商必须保证出租的专线及电路质量符合国家相关标准和规定；采购人租用的专线电路的质量如不符合上述标准的，供应商应负责对该专线及电路予以及时修复、调换。</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2、供应商必须保证与采购人互联的网关路由器至供应商骨干层与其他运营商互联出口路由器的时延和丢包率符合正常的标准。</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3、专线要接入中国Internet骨干网络，实现快速访问Internet线路要稳定，必须保证100M独享带宽。</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4、供应商必须提供及时的技术支持，每天24小时、每周7天、全年无休的系统监控及全面性技术支持，100%故障响应率，100%故障恢复率，不低于99%限时故障恢复率（限时时间为4小时）。</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5、网络可用性为99.99%。网络可用性是指供应商网内端到端全网能提供无故障时间占运行时间的百分比。</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6、供应商网内性能</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（1）从采购人出口网关处至供应商任一设备之间忙时：平均丢包率≤1%，平均延时≤80ms。</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（2）供应商网络与供应商任一设备之间忙时：平均丢包率≤1%，平均延时≤150ms。</w:t>
      </w:r>
    </w:p>
    <w:p>
      <w:pPr>
        <w:snapToGrid w:val="0"/>
        <w:spacing w:line="360" w:lineRule="auto"/>
        <w:ind w:firstLine="480" w:firstLineChars="200"/>
        <w:rPr>
          <w:rFonts w:hint="eastAsia" w:ascii="宋体" w:hAnsi="宋体" w:cs="黑体"/>
          <w:color w:val="auto"/>
          <w:sz w:val="24"/>
          <w:szCs w:val="24"/>
        </w:rPr>
      </w:pPr>
      <w:r>
        <w:rPr>
          <w:rFonts w:hint="eastAsia" w:ascii="宋体" w:hAnsi="宋体" w:cs="黑体"/>
          <w:color w:val="auto"/>
          <w:sz w:val="24"/>
          <w:szCs w:val="24"/>
        </w:rPr>
        <w:t>（</w:t>
      </w:r>
      <w:r>
        <w:rPr>
          <w:rFonts w:ascii="宋体" w:hAnsi="宋体" w:cs="黑体"/>
          <w:color w:val="auto"/>
          <w:sz w:val="24"/>
          <w:szCs w:val="24"/>
        </w:rPr>
        <w:t>3</w:t>
      </w:r>
      <w:r>
        <w:rPr>
          <w:rFonts w:hint="eastAsia" w:ascii="宋体" w:hAnsi="宋体" w:cs="黑体"/>
          <w:color w:val="auto"/>
          <w:sz w:val="24"/>
          <w:szCs w:val="24"/>
        </w:rPr>
        <w:t>）供应商网络与其它运营商互联性能。</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从采购人出口网关处至供应商连接的其它运营商对端联接点：平均丢包率≤1%，平均延时≤150ms。</w:t>
      </w:r>
    </w:p>
    <w:p>
      <w:pPr>
        <w:numPr>
          <w:ilvl w:val="0"/>
          <w:numId w:val="1"/>
        </w:num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双方互联设备点对点时延要求：平均延时≤10ms。</w:t>
      </w:r>
    </w:p>
    <w:p>
      <w:pPr>
        <w:snapToGrid w:val="0"/>
        <w:spacing w:line="360" w:lineRule="auto"/>
        <w:jc w:val="center"/>
        <w:rPr>
          <w:rFonts w:hint="eastAsia" w:ascii="宋体" w:hAnsi="宋体" w:cs="宋体"/>
          <w:color w:val="auto"/>
          <w:sz w:val="24"/>
          <w:szCs w:val="24"/>
        </w:rPr>
      </w:pPr>
      <w:r>
        <w:rPr>
          <w:rFonts w:hint="eastAsia" w:ascii="宋体" w:hAnsi="宋体" w:cs="宋体"/>
          <w:color w:val="auto"/>
          <w:sz w:val="24"/>
          <w:szCs w:val="24"/>
        </w:rPr>
        <w:t>网络质量要求</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0"/>
        <w:gridCol w:w="3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145" w:type="pct"/>
            <w:shd w:val="clear" w:color="auto" w:fill="FFFFFF"/>
            <w:noWrap w:val="0"/>
            <w:vAlign w:val="center"/>
          </w:tcPr>
          <w:p>
            <w:pPr>
              <w:jc w:val="center"/>
              <w:rPr>
                <w:rFonts w:hint="eastAsia" w:ascii="宋体" w:hAnsi="宋体" w:cs="宋体"/>
                <w:bCs/>
                <w:color w:val="auto"/>
                <w:sz w:val="24"/>
                <w:szCs w:val="24"/>
                <w:lang w:bidi="hi-IN"/>
              </w:rPr>
            </w:pPr>
            <w:bookmarkStart w:id="0" w:name="_Hlk132118110"/>
            <w:r>
              <w:rPr>
                <w:rFonts w:hint="eastAsia" w:ascii="宋体" w:hAnsi="宋体" w:cs="宋体"/>
                <w:bCs/>
                <w:color w:val="auto"/>
                <w:sz w:val="24"/>
                <w:szCs w:val="24"/>
                <w:lang w:bidi="hi-IN"/>
              </w:rPr>
              <w:t>指标</w:t>
            </w:r>
          </w:p>
        </w:tc>
        <w:tc>
          <w:tcPr>
            <w:tcW w:w="1854" w:type="pct"/>
            <w:shd w:val="clear" w:color="auto" w:fill="FFFFFF"/>
            <w:noWrap/>
            <w:vAlign w:val="center"/>
          </w:tcPr>
          <w:p>
            <w:pPr>
              <w:jc w:val="center"/>
              <w:rPr>
                <w:rFonts w:hint="default" w:ascii="宋体" w:hAnsi="宋体" w:eastAsia="宋体" w:cs="宋体"/>
                <w:bCs/>
                <w:color w:val="auto"/>
                <w:sz w:val="24"/>
                <w:szCs w:val="24"/>
                <w:lang w:val="en-US" w:eastAsia="zh-CN" w:bidi="hi-IN"/>
              </w:rPr>
            </w:pPr>
            <w:r>
              <w:rPr>
                <w:rFonts w:hint="eastAsia" w:ascii="宋体" w:hAnsi="宋体" w:cs="宋体"/>
                <w:bCs/>
                <w:color w:val="auto"/>
                <w:sz w:val="24"/>
                <w:szCs w:val="24"/>
                <w:lang w:val="en-US" w:eastAsia="zh-CN" w:bidi="hi-IN"/>
              </w:rPr>
              <w:t>要求</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145" w:type="pct"/>
            <w:shd w:val="clear" w:color="auto" w:fill="FFFFFF"/>
            <w:noWrap w:val="0"/>
            <w:vAlign w:val="center"/>
          </w:tcPr>
          <w:p>
            <w:pPr>
              <w:jc w:val="center"/>
              <w:rPr>
                <w:rFonts w:hint="eastAsia" w:ascii="宋体" w:hAnsi="宋体" w:cs="宋体"/>
                <w:bCs/>
                <w:color w:val="auto"/>
                <w:sz w:val="24"/>
                <w:szCs w:val="24"/>
                <w:lang w:bidi="hi-IN"/>
              </w:rPr>
            </w:pPr>
            <w:r>
              <w:rPr>
                <w:rFonts w:hint="eastAsia" w:ascii="宋体" w:hAnsi="宋体" w:cs="宋体"/>
                <w:bCs/>
                <w:color w:val="auto"/>
                <w:sz w:val="24"/>
                <w:szCs w:val="24"/>
                <w:lang w:bidi="hi-IN"/>
              </w:rPr>
              <w:t>同一专线相同故障重复发生次数</w:t>
            </w:r>
          </w:p>
        </w:tc>
        <w:tc>
          <w:tcPr>
            <w:tcW w:w="1854" w:type="pct"/>
            <w:shd w:val="clear" w:color="auto" w:fill="FFFFFF"/>
            <w:noWrap/>
            <w:vAlign w:val="center"/>
          </w:tcPr>
          <w:p>
            <w:pPr>
              <w:jc w:val="center"/>
              <w:rPr>
                <w:rFonts w:hint="eastAsia" w:ascii="宋体" w:hAnsi="宋体" w:cs="宋体"/>
                <w:bCs/>
                <w:color w:val="auto"/>
                <w:sz w:val="24"/>
                <w:szCs w:val="24"/>
                <w:lang w:bidi="hi-IN"/>
              </w:rPr>
            </w:pPr>
            <w:r>
              <w:rPr>
                <w:rFonts w:hint="eastAsia" w:ascii="宋体" w:hAnsi="宋体" w:cs="宋体"/>
                <w:bCs/>
                <w:color w:val="auto"/>
                <w:sz w:val="24"/>
                <w:szCs w:val="24"/>
                <w:lang w:bidi="hi-IN"/>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145" w:type="pct"/>
            <w:shd w:val="clear" w:color="auto" w:fill="FFFFFF"/>
            <w:noWrap w:val="0"/>
            <w:vAlign w:val="center"/>
          </w:tcPr>
          <w:p>
            <w:pPr>
              <w:jc w:val="center"/>
              <w:rPr>
                <w:rFonts w:hint="eastAsia" w:ascii="宋体" w:hAnsi="宋体" w:cs="宋体"/>
                <w:bCs/>
                <w:color w:val="auto"/>
                <w:sz w:val="24"/>
                <w:szCs w:val="24"/>
                <w:lang w:bidi="hi-IN"/>
              </w:rPr>
            </w:pPr>
            <w:r>
              <w:rPr>
                <w:rFonts w:hint="eastAsia" w:ascii="宋体" w:hAnsi="宋体" w:cs="宋体"/>
                <w:bCs/>
                <w:color w:val="auto"/>
                <w:sz w:val="24"/>
                <w:szCs w:val="24"/>
              </w:rPr>
              <w:t>同一专线年业务中断历时</w:t>
            </w:r>
          </w:p>
        </w:tc>
        <w:tc>
          <w:tcPr>
            <w:tcW w:w="1854" w:type="pct"/>
            <w:shd w:val="clear" w:color="auto" w:fill="FFFFFF"/>
            <w:noWrap/>
            <w:vAlign w:val="center"/>
          </w:tcPr>
          <w:p>
            <w:pPr>
              <w:jc w:val="center"/>
              <w:rPr>
                <w:rFonts w:hint="eastAsia" w:ascii="宋体" w:hAnsi="宋体" w:cs="宋体"/>
                <w:bCs/>
                <w:color w:val="auto"/>
                <w:sz w:val="24"/>
                <w:szCs w:val="24"/>
                <w:lang w:bidi="hi-IN"/>
              </w:rPr>
            </w:pPr>
            <w:r>
              <w:rPr>
                <w:rFonts w:hint="eastAsia" w:ascii="宋体" w:hAnsi="宋体" w:cs="宋体"/>
                <w:bCs/>
                <w:color w:val="auto"/>
                <w:sz w:val="24"/>
                <w:szCs w:val="24"/>
                <w:lang w:bidi="hi-IN"/>
              </w:rPr>
              <w:t>≤3小时</w:t>
            </w:r>
          </w:p>
        </w:tc>
      </w:tr>
    </w:tbl>
    <w:p>
      <w:pPr>
        <w:pStyle w:val="4"/>
        <w:ind w:left="0" w:leftChars="0" w:firstLine="0" w:firstLineChars="0"/>
        <w:jc w:val="both"/>
        <w:rPr>
          <w:rFonts w:hint="eastAsia" w:ascii="宋体" w:hAnsi="宋体" w:cs="宋体"/>
          <w:color w:val="auto"/>
          <w:sz w:val="24"/>
          <w:szCs w:val="24"/>
        </w:rPr>
      </w:pPr>
      <w:r>
        <w:rPr>
          <w:rFonts w:hint="eastAsia" w:ascii="宋体" w:hAnsi="宋体" w:cs="宋体"/>
          <w:color w:val="auto"/>
          <w:sz w:val="24"/>
          <w:szCs w:val="24"/>
        </w:rPr>
        <w:t>电路可用率达到99%。</w:t>
      </w:r>
    </w:p>
    <w:p>
      <w:pPr>
        <w:pStyle w:val="4"/>
        <w:jc w:val="center"/>
        <w:rPr>
          <w:rFonts w:hint="eastAsia" w:ascii="宋体" w:hAnsi="宋体" w:cs="宋体"/>
          <w:color w:val="auto"/>
          <w:sz w:val="24"/>
          <w:szCs w:val="24"/>
        </w:rPr>
      </w:pPr>
      <w:r>
        <w:rPr>
          <w:rFonts w:hint="eastAsia" w:ascii="宋体" w:hAnsi="宋体" w:cs="宋体"/>
          <w:color w:val="auto"/>
          <w:sz w:val="24"/>
          <w:szCs w:val="24"/>
        </w:rPr>
        <w:t>数据专线线路质量标准</w:t>
      </w:r>
    </w:p>
    <w:tbl>
      <w:tblPr>
        <w:tblStyle w:val="5"/>
        <w:tblpPr w:leftFromText="180" w:rightFromText="180" w:vertAnchor="text" w:horzAnchor="page" w:tblpX="1318" w:tblpY="350"/>
        <w:tblOverlap w:val="never"/>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583"/>
        <w:gridCol w:w="3713"/>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4" w:type="pct"/>
            <w:shd w:val="clear" w:color="auto" w:fill="FFFFFF"/>
            <w:noWrap w:val="0"/>
            <w:vAlign w:val="center"/>
          </w:tcPr>
          <w:p>
            <w:pPr>
              <w:jc w:val="center"/>
              <w:rPr>
                <w:rFonts w:hint="eastAsia" w:ascii="宋体" w:hAnsi="宋体" w:cs="宋体"/>
                <w:bCs/>
                <w:color w:val="auto"/>
                <w:sz w:val="24"/>
                <w:szCs w:val="24"/>
              </w:rPr>
            </w:pPr>
            <w:r>
              <w:rPr>
                <w:rFonts w:hint="eastAsia" w:ascii="宋体" w:hAnsi="宋体" w:cs="宋体"/>
                <w:bCs/>
                <w:color w:val="auto"/>
                <w:sz w:val="24"/>
                <w:szCs w:val="24"/>
              </w:rPr>
              <w:t>专线类别</w:t>
            </w:r>
          </w:p>
        </w:tc>
        <w:tc>
          <w:tcPr>
            <w:tcW w:w="925" w:type="pct"/>
            <w:shd w:val="clear" w:color="auto" w:fill="FFFFFF"/>
            <w:noWrap/>
            <w:vAlign w:val="center"/>
          </w:tcPr>
          <w:p>
            <w:pPr>
              <w:jc w:val="center"/>
              <w:rPr>
                <w:rFonts w:hint="eastAsia" w:ascii="宋体" w:hAnsi="宋体" w:cs="宋体"/>
                <w:bCs/>
                <w:color w:val="auto"/>
                <w:sz w:val="24"/>
                <w:szCs w:val="24"/>
              </w:rPr>
            </w:pPr>
            <w:r>
              <w:rPr>
                <w:rFonts w:hint="eastAsia" w:ascii="宋体" w:hAnsi="宋体" w:cs="宋体"/>
                <w:bCs/>
                <w:color w:val="auto"/>
                <w:sz w:val="24"/>
                <w:szCs w:val="24"/>
              </w:rPr>
              <w:t>质量指标内容</w:t>
            </w:r>
          </w:p>
        </w:tc>
        <w:tc>
          <w:tcPr>
            <w:tcW w:w="2172" w:type="pct"/>
            <w:shd w:val="clear" w:color="auto" w:fill="FFFFFF"/>
            <w:noWrap w:val="0"/>
            <w:vAlign w:val="center"/>
          </w:tcPr>
          <w:p>
            <w:pPr>
              <w:jc w:val="center"/>
              <w:rPr>
                <w:rFonts w:hint="eastAsia" w:ascii="宋体" w:hAnsi="宋体" w:cs="宋体"/>
                <w:bCs/>
                <w:color w:val="auto"/>
                <w:sz w:val="24"/>
                <w:szCs w:val="24"/>
              </w:rPr>
            </w:pPr>
            <w:r>
              <w:rPr>
                <w:rFonts w:hint="eastAsia" w:ascii="宋体" w:hAnsi="宋体" w:cs="宋体"/>
                <w:bCs/>
                <w:color w:val="auto"/>
                <w:sz w:val="24"/>
                <w:szCs w:val="24"/>
              </w:rPr>
              <w:t>指标定义</w:t>
            </w:r>
          </w:p>
        </w:tc>
        <w:tc>
          <w:tcPr>
            <w:tcW w:w="1188" w:type="pct"/>
            <w:shd w:val="clear" w:color="auto" w:fill="FFFFFF"/>
            <w:noWrap w:val="0"/>
            <w:vAlign w:val="center"/>
          </w:tcPr>
          <w:p>
            <w:pPr>
              <w:jc w:val="center"/>
              <w:rPr>
                <w:rFonts w:hint="eastAsia" w:ascii="宋体" w:hAnsi="宋体" w:cs="宋体"/>
                <w:bCs/>
                <w:color w:val="auto"/>
                <w:sz w:val="24"/>
                <w:szCs w:val="24"/>
              </w:rPr>
            </w:pPr>
            <w:r>
              <w:rPr>
                <w:rFonts w:hint="eastAsia" w:ascii="宋体" w:hAnsi="宋体" w:cs="宋体"/>
                <w:bCs/>
                <w:color w:val="auto"/>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14" w:type="pct"/>
            <w:vMerge w:val="restart"/>
            <w:shd w:val="clear" w:color="auto" w:fill="FFFFFF"/>
            <w:noWrap w:val="0"/>
            <w:vAlign w:val="center"/>
          </w:tcPr>
          <w:p>
            <w:pPr>
              <w:jc w:val="center"/>
              <w:rPr>
                <w:rFonts w:hint="eastAsia" w:ascii="宋体" w:hAnsi="宋体" w:cs="宋体"/>
                <w:bCs/>
                <w:color w:val="auto"/>
                <w:sz w:val="24"/>
                <w:szCs w:val="24"/>
              </w:rPr>
            </w:pPr>
            <w:r>
              <w:rPr>
                <w:rFonts w:hint="eastAsia" w:ascii="宋体" w:hAnsi="宋体" w:cs="宋体"/>
                <w:bCs/>
                <w:color w:val="auto"/>
                <w:sz w:val="24"/>
                <w:szCs w:val="24"/>
              </w:rPr>
              <w:t>数据专线</w:t>
            </w:r>
          </w:p>
        </w:tc>
        <w:tc>
          <w:tcPr>
            <w:tcW w:w="925" w:type="pct"/>
            <w:shd w:val="clear" w:color="auto" w:fill="FFFFFF"/>
            <w:noWrap/>
            <w:vAlign w:val="center"/>
          </w:tcPr>
          <w:p>
            <w:pPr>
              <w:jc w:val="center"/>
              <w:rPr>
                <w:rFonts w:hint="eastAsia" w:ascii="宋体" w:hAnsi="宋体" w:cs="宋体"/>
                <w:bCs/>
                <w:color w:val="auto"/>
                <w:sz w:val="24"/>
                <w:szCs w:val="24"/>
              </w:rPr>
            </w:pPr>
            <w:r>
              <w:rPr>
                <w:rFonts w:hint="eastAsia" w:ascii="宋体" w:hAnsi="宋体" w:cs="宋体"/>
                <w:bCs/>
                <w:color w:val="auto"/>
                <w:sz w:val="24"/>
                <w:szCs w:val="24"/>
              </w:rPr>
              <w:t>误码率</w:t>
            </w:r>
          </w:p>
        </w:tc>
        <w:tc>
          <w:tcPr>
            <w:tcW w:w="2172" w:type="pct"/>
            <w:shd w:val="clear" w:color="auto" w:fill="FFFFFF"/>
            <w:noWrap/>
            <w:vAlign w:val="center"/>
          </w:tcPr>
          <w:p>
            <w:pPr>
              <w:jc w:val="center"/>
              <w:rPr>
                <w:rFonts w:hint="eastAsia" w:ascii="宋体" w:hAnsi="宋体" w:cs="宋体"/>
                <w:bCs/>
                <w:color w:val="auto"/>
                <w:sz w:val="24"/>
                <w:szCs w:val="24"/>
              </w:rPr>
            </w:pPr>
            <w:r>
              <w:rPr>
                <w:rFonts w:hint="eastAsia" w:ascii="宋体" w:hAnsi="宋体" w:cs="宋体"/>
                <w:bCs/>
                <w:color w:val="auto"/>
                <w:sz w:val="24"/>
                <w:szCs w:val="24"/>
              </w:rPr>
              <w:t>在一个确定的测试期间，接收出现差错的比特数与总发送的比特数之比</w:t>
            </w:r>
          </w:p>
        </w:tc>
        <w:tc>
          <w:tcPr>
            <w:tcW w:w="1188" w:type="pct"/>
            <w:shd w:val="clear" w:color="auto" w:fill="FFFFFF"/>
            <w:noWrap w:val="0"/>
            <w:vAlign w:val="center"/>
          </w:tcPr>
          <w:p>
            <w:pPr>
              <w:jc w:val="center"/>
              <w:rPr>
                <w:rFonts w:hint="eastAsia" w:ascii="宋体" w:hAnsi="宋体" w:cs="宋体"/>
                <w:bCs/>
                <w:color w:val="auto"/>
                <w:sz w:val="24"/>
                <w:szCs w:val="24"/>
              </w:rPr>
            </w:pPr>
            <w:r>
              <w:rPr>
                <w:rFonts w:hint="eastAsia" w:ascii="宋体" w:hAnsi="宋体" w:cs="宋体"/>
                <w:bCs/>
                <w:color w:val="auto"/>
                <w:sz w:val="24"/>
                <w:szCs w:val="24"/>
              </w:rPr>
              <w:t>≤1e-9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14" w:type="pct"/>
            <w:vMerge w:val="continue"/>
            <w:shd w:val="clear" w:color="auto" w:fill="FFFFFF"/>
            <w:noWrap w:val="0"/>
            <w:vAlign w:val="center"/>
          </w:tcPr>
          <w:p>
            <w:pPr>
              <w:jc w:val="center"/>
              <w:rPr>
                <w:rFonts w:hint="eastAsia" w:ascii="宋体" w:hAnsi="宋体" w:cs="宋体"/>
                <w:bCs/>
                <w:color w:val="auto"/>
                <w:sz w:val="24"/>
                <w:szCs w:val="24"/>
              </w:rPr>
            </w:pPr>
          </w:p>
        </w:tc>
        <w:tc>
          <w:tcPr>
            <w:tcW w:w="925" w:type="pct"/>
            <w:shd w:val="clear" w:color="auto" w:fill="FFFFFF"/>
            <w:noWrap/>
            <w:vAlign w:val="center"/>
          </w:tcPr>
          <w:p>
            <w:pPr>
              <w:jc w:val="center"/>
              <w:rPr>
                <w:rFonts w:hint="eastAsia" w:ascii="宋体" w:hAnsi="宋体" w:cs="宋体"/>
                <w:bCs/>
                <w:color w:val="auto"/>
                <w:sz w:val="24"/>
                <w:szCs w:val="24"/>
              </w:rPr>
            </w:pPr>
            <w:r>
              <w:rPr>
                <w:rFonts w:hint="eastAsia" w:ascii="宋体" w:hAnsi="宋体" w:cs="宋体"/>
                <w:bCs/>
                <w:color w:val="auto"/>
                <w:sz w:val="24"/>
                <w:szCs w:val="24"/>
              </w:rPr>
              <w:t>时延</w:t>
            </w:r>
          </w:p>
        </w:tc>
        <w:tc>
          <w:tcPr>
            <w:tcW w:w="2172" w:type="pct"/>
            <w:shd w:val="clear" w:color="auto" w:fill="FFFFFF"/>
            <w:noWrap/>
            <w:vAlign w:val="center"/>
          </w:tcPr>
          <w:p>
            <w:pPr>
              <w:jc w:val="center"/>
              <w:rPr>
                <w:rFonts w:hint="eastAsia" w:ascii="宋体" w:hAnsi="宋体" w:cs="宋体"/>
                <w:bCs/>
                <w:color w:val="auto"/>
                <w:sz w:val="24"/>
                <w:szCs w:val="24"/>
              </w:rPr>
            </w:pPr>
            <w:r>
              <w:rPr>
                <w:rFonts w:hint="eastAsia" w:ascii="宋体" w:hAnsi="宋体" w:cs="宋体"/>
                <w:bCs/>
                <w:color w:val="auto"/>
                <w:sz w:val="24"/>
                <w:szCs w:val="24"/>
              </w:rPr>
              <w:t>端到端不丢包情况下的网络转发数据所用时间，包括传输时延和传输节点处理时延。</w:t>
            </w:r>
          </w:p>
        </w:tc>
        <w:tc>
          <w:tcPr>
            <w:tcW w:w="1188" w:type="pct"/>
            <w:shd w:val="clear" w:color="auto" w:fill="FFFFFF"/>
            <w:noWrap w:val="0"/>
            <w:vAlign w:val="center"/>
          </w:tcPr>
          <w:p>
            <w:pPr>
              <w:jc w:val="center"/>
              <w:rPr>
                <w:rFonts w:hint="eastAsia" w:ascii="宋体" w:hAnsi="宋体" w:cs="宋体"/>
                <w:bCs/>
                <w:color w:val="auto"/>
                <w:sz w:val="24"/>
                <w:szCs w:val="24"/>
              </w:rPr>
            </w:pPr>
            <w:r>
              <w:rPr>
                <w:rFonts w:hint="eastAsia" w:ascii="宋体" w:hAnsi="宋体" w:cs="宋体"/>
                <w:bCs/>
                <w:color w:val="auto"/>
                <w:sz w:val="24"/>
                <w:szCs w:val="24"/>
              </w:rPr>
              <w:t>跨省、跨市时延：0.8ms/百公里（单向时延）；本地网内≤10ms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14" w:type="pct"/>
            <w:vMerge w:val="continue"/>
            <w:shd w:val="clear" w:color="auto" w:fill="FFFFFF"/>
            <w:noWrap w:val="0"/>
            <w:vAlign w:val="center"/>
          </w:tcPr>
          <w:p>
            <w:pPr>
              <w:jc w:val="center"/>
              <w:rPr>
                <w:rFonts w:hint="eastAsia" w:ascii="宋体" w:hAnsi="宋体" w:cs="宋体"/>
                <w:bCs/>
                <w:color w:val="auto"/>
                <w:sz w:val="24"/>
                <w:szCs w:val="24"/>
              </w:rPr>
            </w:pPr>
          </w:p>
        </w:tc>
        <w:tc>
          <w:tcPr>
            <w:tcW w:w="925" w:type="pct"/>
            <w:shd w:val="clear" w:color="auto" w:fill="FFFFFF"/>
            <w:noWrap/>
            <w:vAlign w:val="center"/>
          </w:tcPr>
          <w:p>
            <w:pPr>
              <w:jc w:val="center"/>
              <w:rPr>
                <w:rFonts w:hint="eastAsia" w:ascii="宋体" w:hAnsi="宋体" w:cs="宋体"/>
                <w:bCs/>
                <w:color w:val="auto"/>
                <w:sz w:val="24"/>
                <w:szCs w:val="24"/>
              </w:rPr>
            </w:pPr>
            <w:r>
              <w:rPr>
                <w:rFonts w:hint="eastAsia" w:ascii="宋体" w:hAnsi="宋体" w:cs="宋体"/>
                <w:bCs/>
                <w:color w:val="auto"/>
                <w:sz w:val="24"/>
                <w:szCs w:val="24"/>
              </w:rPr>
              <w:t>丢包率</w:t>
            </w:r>
          </w:p>
        </w:tc>
        <w:tc>
          <w:tcPr>
            <w:tcW w:w="2172" w:type="pct"/>
            <w:shd w:val="clear" w:color="auto" w:fill="FFFFFF"/>
            <w:noWrap/>
            <w:vAlign w:val="center"/>
          </w:tcPr>
          <w:p>
            <w:pPr>
              <w:jc w:val="center"/>
              <w:rPr>
                <w:rFonts w:hint="eastAsia" w:ascii="宋体" w:hAnsi="宋体" w:cs="宋体"/>
                <w:bCs/>
                <w:color w:val="auto"/>
                <w:sz w:val="24"/>
                <w:szCs w:val="24"/>
              </w:rPr>
            </w:pPr>
            <w:r>
              <w:rPr>
                <w:rFonts w:hint="eastAsia" w:ascii="宋体" w:hAnsi="宋体" w:cs="宋体"/>
                <w:bCs/>
                <w:color w:val="auto"/>
                <w:sz w:val="24"/>
                <w:szCs w:val="24"/>
              </w:rPr>
              <w:t>在网络稳定状态下由于网络资源缺乏造成的不能转发的数据帧和总数据帧的百分比</w:t>
            </w:r>
          </w:p>
        </w:tc>
        <w:tc>
          <w:tcPr>
            <w:tcW w:w="1188" w:type="pct"/>
            <w:shd w:val="clear" w:color="auto" w:fill="FFFFFF"/>
            <w:noWrap w:val="0"/>
            <w:vAlign w:val="center"/>
          </w:tcPr>
          <w:p>
            <w:pPr>
              <w:jc w:val="center"/>
              <w:rPr>
                <w:rFonts w:hint="eastAsia" w:ascii="宋体" w:hAnsi="宋体" w:cs="宋体"/>
                <w:bCs/>
                <w:color w:val="auto"/>
                <w:sz w:val="24"/>
                <w:szCs w:val="24"/>
              </w:rPr>
            </w:pPr>
            <w:r>
              <w:rPr>
                <w:rFonts w:hint="eastAsia" w:ascii="宋体" w:hAnsi="宋体" w:cs="宋体"/>
                <w:bCs/>
                <w:color w:val="auto"/>
                <w:sz w:val="24"/>
                <w:szCs w:val="24"/>
              </w:rPr>
              <w:t>在正常带宽负荷下（负荷小于70％）≤0.1%（挂表测试为准）</w:t>
            </w:r>
          </w:p>
        </w:tc>
      </w:tr>
    </w:tbl>
    <w:p>
      <w:pPr>
        <w:pStyle w:val="4"/>
        <w:rPr>
          <w:rFonts w:hint="eastAsia" w:ascii="宋体" w:hAnsi="宋体" w:cs="宋体"/>
          <w:color w:val="auto"/>
          <w:sz w:val="24"/>
          <w:szCs w:val="24"/>
        </w:rPr>
      </w:pP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二、本着需求主导、统筹规划，整合资源、服务应用，着眼发展、注重安全的原则，本项目建设技术方案，主要分以下几方面考虑：</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1、稳定性</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伴随着信息化建设的迅速发展,本次工程要求建成满足采购人运营商电路租用要求的承载网络，网络建设最关键的一点就是安全稳定，这是其信息化建设中最重要的考虑因素，保证网络7×24小时稳定运行。</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2、安全性</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本项目要求做好网络安全，防止通信网络阻塞、中断、瘫痪或者被非法控制，以及为防止通信网络中传输、存储、处理的数据信息丢失、泄露或者被篡改。</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安全目标有：保护由网点产生的或与网点相关的信息能得到充分的保护，防止被误用或盗用；保证由网络服务和归属环境提供的资源和业务能得到充分保护，防止被误用或盗用；保护标准化的安全特征至少应有一个可以在世界范围的基础上输出的加密算法；保证安全特征被充分的标准化，以确保网内互操作与不同的服务网络之间的漫游；保证提供给网点和业务供应者的保护级别比当代固定或移动网络提供的高。</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3、可管理性</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供应商负责建设专网的运行、维护管理，成立项目所属运行维护管理机构，负责网络的运行、维护及管理。</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4、可维护性</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在网络建设中采取环网保护，利用统一的网管平台对本次项目专线承载网络进行7x24小时的不间断监控，保障专网的安全运行。</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5、经济性</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本项目网络建设遵循国家标准，在保证电路接入的同时，兼顾扩展性能，安全性能，保障了投资受益的最大化。在满足对功能、质量、性能、价格和服务等各方面要求的前提下，追求最优化的系统设备配置，以尽量降低系统造价。</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6、技术先进性</w:t>
      </w:r>
    </w:p>
    <w:p>
      <w:pPr>
        <w:snapToGrid w:val="0"/>
        <w:spacing w:line="360" w:lineRule="auto"/>
        <w:ind w:firstLine="480" w:firstLineChars="200"/>
        <w:rPr>
          <w:rFonts w:ascii="宋体" w:hAnsi="宋体" w:cs="黑体"/>
          <w:b/>
          <w:bCs/>
          <w:color w:val="auto"/>
          <w:sz w:val="24"/>
          <w:szCs w:val="24"/>
        </w:rPr>
      </w:pPr>
      <w:r>
        <w:rPr>
          <w:rFonts w:hint="eastAsia" w:ascii="宋体" w:hAnsi="宋体" w:cs="黑体"/>
          <w:color w:val="auto"/>
          <w:sz w:val="24"/>
          <w:szCs w:val="24"/>
        </w:rPr>
        <w:t>考虑到通信网络承载技术的发展趋势，供应商的传输承载专网使用对IP分组业务支持能力最好的、目前最先进、传输能力最强的OTN、PTN网络，可以充分保证网络高带宽、高速率、高安全，为网络的运行提供有力保障。同时可以在未来的很长时间内，保持在行业内的技术领先，满足对于技术安全的保障。</w:t>
      </w:r>
    </w:p>
    <w:p>
      <w:pPr>
        <w:snapToGrid w:val="0"/>
        <w:spacing w:line="360" w:lineRule="auto"/>
        <w:rPr>
          <w:rFonts w:hint="eastAsia" w:ascii="宋体" w:hAnsi="宋体" w:cs="黑体"/>
          <w:color w:val="auto"/>
          <w:sz w:val="24"/>
          <w:szCs w:val="24"/>
        </w:rPr>
      </w:pP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highlight w:val="none"/>
        </w:rPr>
        <w:t>三、</w:t>
      </w:r>
      <w:r>
        <w:rPr>
          <w:rFonts w:hint="eastAsia" w:ascii="宋体" w:hAnsi="宋体" w:cs="黑体"/>
          <w:color w:val="auto"/>
          <w:sz w:val="24"/>
          <w:szCs w:val="24"/>
          <w:highlight w:val="none"/>
          <w:lang w:val="en-US" w:eastAsia="zh-CN"/>
        </w:rPr>
        <w:t>服务提供商需就如下条件做出应答承诺</w:t>
      </w:r>
    </w:p>
    <w:p>
      <w:pPr>
        <w:snapToGrid w:val="0"/>
        <w:spacing w:line="360" w:lineRule="auto"/>
        <w:ind w:firstLine="480" w:firstLineChars="200"/>
        <w:rPr>
          <w:rFonts w:hint="default" w:ascii="宋体" w:hAnsi="宋体" w:eastAsia="宋体" w:cs="黑体"/>
          <w:color w:val="auto"/>
          <w:sz w:val="24"/>
          <w:szCs w:val="24"/>
          <w:lang w:val="en-US" w:eastAsia="zh-CN"/>
        </w:rPr>
      </w:pPr>
      <w:r>
        <w:rPr>
          <w:rFonts w:hint="eastAsia" w:ascii="宋体" w:hAnsi="宋体" w:cs="黑体"/>
          <w:color w:val="auto"/>
          <w:sz w:val="24"/>
          <w:szCs w:val="24"/>
        </w:rPr>
        <w:t>1、</w:t>
      </w:r>
      <w:r>
        <w:rPr>
          <w:rFonts w:hint="eastAsia" w:ascii="宋体" w:hAnsi="宋体" w:cs="黑体"/>
          <w:color w:val="auto"/>
          <w:sz w:val="24"/>
          <w:szCs w:val="24"/>
          <w:lang w:eastAsia="zh-CN"/>
        </w:rPr>
        <w:t>因</w:t>
      </w:r>
      <w:r>
        <w:rPr>
          <w:rFonts w:hint="eastAsia" w:ascii="宋体" w:hAnsi="宋体" w:cs="黑体"/>
          <w:color w:val="auto"/>
          <w:sz w:val="24"/>
          <w:szCs w:val="24"/>
        </w:rPr>
        <w:t>本项目</w:t>
      </w:r>
      <w:r>
        <w:rPr>
          <w:rFonts w:hint="eastAsia" w:ascii="宋体" w:hAnsi="宋体" w:cs="黑体"/>
          <w:color w:val="auto"/>
          <w:sz w:val="24"/>
          <w:szCs w:val="24"/>
          <w:lang w:eastAsia="zh-CN"/>
        </w:rPr>
        <w:t>前期已有相关供应商进行网络线路提供，相关业务已在运行中，</w:t>
      </w:r>
      <w:r>
        <w:rPr>
          <w:rFonts w:hint="eastAsia" w:ascii="宋体" w:hAnsi="宋体" w:cs="黑体"/>
          <w:color w:val="auto"/>
          <w:sz w:val="24"/>
          <w:szCs w:val="24"/>
        </w:rPr>
        <w:t>为防止通信网络中传输、存储、处理的数据信息丢失、泄露或者被篡改</w:t>
      </w:r>
      <w:r>
        <w:rPr>
          <w:rFonts w:hint="eastAsia" w:ascii="宋体" w:hAnsi="宋体" w:cs="黑体"/>
          <w:color w:val="auto"/>
          <w:sz w:val="24"/>
          <w:szCs w:val="24"/>
          <w:lang w:eastAsia="zh-CN"/>
        </w:rPr>
        <w:t>，故本次项目采购</w:t>
      </w:r>
      <w:r>
        <w:rPr>
          <w:rFonts w:hint="eastAsia" w:ascii="宋体" w:hAnsi="宋体" w:cs="黑体"/>
          <w:color w:val="auto"/>
          <w:sz w:val="24"/>
          <w:szCs w:val="24"/>
        </w:rPr>
        <w:t>要求做</w:t>
      </w:r>
      <w:r>
        <w:rPr>
          <w:rFonts w:hint="eastAsia" w:ascii="宋体" w:hAnsi="宋体" w:cs="黑体"/>
          <w:color w:val="auto"/>
          <w:sz w:val="24"/>
          <w:szCs w:val="24"/>
          <w:lang w:eastAsia="zh-CN"/>
        </w:rPr>
        <w:t>到业务网络不中断，且开通时限小于等于</w:t>
      </w:r>
      <w:r>
        <w:rPr>
          <w:rFonts w:hint="eastAsia" w:ascii="宋体" w:hAnsi="宋体" w:cs="黑体"/>
          <w:color w:val="auto"/>
          <w:sz w:val="24"/>
          <w:szCs w:val="24"/>
          <w:lang w:val="en-US" w:eastAsia="zh-CN"/>
        </w:rPr>
        <w:t>24小时。因医院内部环境限制，无新开挖管道条件，需供应商自行使用已有管线资源调配电（光）路。</w:t>
      </w:r>
    </w:p>
    <w:p>
      <w:pPr>
        <w:snapToGrid w:val="0"/>
        <w:spacing w:line="360" w:lineRule="auto"/>
        <w:ind w:firstLine="480" w:firstLineChars="200"/>
        <w:rPr>
          <w:rFonts w:hint="default" w:ascii="宋体" w:hAnsi="宋体" w:eastAsia="宋体" w:cs="黑体"/>
          <w:color w:val="auto"/>
          <w:sz w:val="24"/>
          <w:szCs w:val="24"/>
          <w:lang w:val="en-US" w:eastAsia="zh-CN"/>
        </w:rPr>
      </w:pPr>
      <w:r>
        <w:rPr>
          <w:rFonts w:hint="eastAsia" w:ascii="宋体" w:hAnsi="宋体" w:cs="黑体"/>
          <w:color w:val="auto"/>
          <w:sz w:val="24"/>
          <w:szCs w:val="24"/>
        </w:rPr>
        <w:t>2、供应商提供优质电路，负责向采购人提供有关技术支持，满足采购人的网络出口需求。</w:t>
      </w:r>
      <w:r>
        <w:rPr>
          <w:rFonts w:hint="eastAsia" w:ascii="宋体" w:hAnsi="宋体" w:cs="黑体"/>
          <w:color w:val="auto"/>
          <w:sz w:val="24"/>
          <w:szCs w:val="24"/>
          <w:lang w:val="en-US" w:eastAsia="zh-CN"/>
        </w:rPr>
        <w:t>医院所有涉及电路转接用设备均有供应商提供，由供应商承担所有设备使用费用。</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3、供应商在服务期内为采购人提供365×24小时不间断的售后“三优”保障服务，即：优惠、优先、优质的服务，并依据有关规程和规范进行维护。</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4、供应商须确定专人负责与采购人进行沟通协调工作，采取一站式受理，统一处理采购人的服务要求，包括线路的开通、变更、终止、故障申报、缴费等业务流程，建立完善的通信障碍处理、报告制度。电路出现通信故障应立即报于采购人，并积极配合采购人要求及时排除故障，做好详细的故障处理报告。</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5、供应商保证在专线发生故障的情况下，必须在4小时内排除故障，特殊情况需及时书面或电话说明。对可预知的网络中断，如施工等原因影响通信线路正常使用的，保证提前24小时书面或电话通知采购人，并在4个小时之内恢复正常。</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6、供应商须在线路开通之日前将调测好的线路交给采购人，同时提供线路测试报告。</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7、在线路租用期限内，供应商应为采购人免费提供现场维修及维护服务。</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8、供应商必须为采购人提供7×24小时应急通信保障，首次故障响应时间不超过30分钟，线路故障处理时间不得超过4小时。</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9、供应商须承诺在核心节点及各边缘节点出现机房搬迁等情况需要进行线路迁移时，免费提供一次线路迁移服务。</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1</w:t>
      </w:r>
      <w:r>
        <w:rPr>
          <w:rFonts w:ascii="宋体" w:hAnsi="宋体" w:cs="黑体"/>
          <w:color w:val="auto"/>
          <w:sz w:val="24"/>
          <w:szCs w:val="24"/>
        </w:rPr>
        <w:t>0</w:t>
      </w:r>
      <w:r>
        <w:rPr>
          <w:rFonts w:hint="eastAsia" w:ascii="宋体" w:hAnsi="宋体" w:cs="黑体"/>
          <w:color w:val="auto"/>
          <w:sz w:val="24"/>
          <w:szCs w:val="24"/>
        </w:rPr>
        <w:t>、供应商须对上述服务性需求制定详细的服务方案。</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1</w:t>
      </w:r>
      <w:r>
        <w:rPr>
          <w:rFonts w:ascii="宋体" w:hAnsi="宋体" w:cs="黑体"/>
          <w:color w:val="auto"/>
          <w:sz w:val="24"/>
          <w:szCs w:val="24"/>
        </w:rPr>
        <w:t>1</w:t>
      </w:r>
      <w:r>
        <w:rPr>
          <w:rFonts w:hint="eastAsia" w:ascii="宋体" w:hAnsi="宋体" w:cs="黑体"/>
          <w:color w:val="auto"/>
          <w:sz w:val="24"/>
          <w:szCs w:val="24"/>
        </w:rPr>
        <w:t>、安全需求</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（1）供应商的网络须安全可靠，须满足《中华人民共和国网络安全法》、《互联网安全保护技术措施规定》等国家法律法规的相关条款。</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w:t>
      </w:r>
      <w:r>
        <w:rPr>
          <w:rFonts w:ascii="宋体" w:hAnsi="宋体" w:cs="黑体"/>
          <w:color w:val="auto"/>
          <w:sz w:val="24"/>
          <w:szCs w:val="24"/>
        </w:rPr>
        <w:t>2</w:t>
      </w:r>
      <w:r>
        <w:rPr>
          <w:rFonts w:hint="eastAsia" w:ascii="宋体" w:hAnsi="宋体" w:cs="黑体"/>
          <w:color w:val="auto"/>
          <w:sz w:val="24"/>
          <w:szCs w:val="24"/>
        </w:rPr>
        <w:t>）供应商须在投标时提供针对所投标网络制定的网络安全措施方案。</w:t>
      </w:r>
    </w:p>
    <w:p>
      <w:pPr>
        <w:snapToGrid w:val="0"/>
        <w:spacing w:line="360" w:lineRule="auto"/>
        <w:ind w:firstLine="480" w:firstLineChars="200"/>
        <w:rPr>
          <w:rFonts w:hint="eastAsia" w:ascii="宋体" w:hAnsi="宋体" w:cs="黑体"/>
          <w:color w:val="auto"/>
          <w:sz w:val="24"/>
          <w:szCs w:val="24"/>
        </w:rPr>
      </w:pPr>
      <w:r>
        <w:rPr>
          <w:rFonts w:hint="eastAsia" w:ascii="宋体" w:hAnsi="宋体" w:cs="黑体"/>
          <w:color w:val="auto"/>
          <w:sz w:val="24"/>
          <w:szCs w:val="24"/>
        </w:rPr>
        <w:t>（</w:t>
      </w:r>
      <w:r>
        <w:rPr>
          <w:rFonts w:ascii="宋体" w:hAnsi="宋体" w:cs="黑体"/>
          <w:color w:val="auto"/>
          <w:sz w:val="24"/>
          <w:szCs w:val="24"/>
        </w:rPr>
        <w:t>3</w:t>
      </w:r>
      <w:r>
        <w:rPr>
          <w:rFonts w:hint="eastAsia" w:ascii="宋体" w:hAnsi="宋体" w:cs="黑体"/>
          <w:color w:val="auto"/>
          <w:sz w:val="24"/>
          <w:szCs w:val="24"/>
        </w:rPr>
        <w:t>）</w:t>
      </w:r>
      <w:r>
        <w:rPr>
          <w:rFonts w:hint="eastAsia" w:ascii="宋体" w:hAnsi="宋体" w:cs="宋体"/>
          <w:color w:val="auto"/>
          <w:sz w:val="24"/>
          <w:szCs w:val="24"/>
        </w:rPr>
        <w:t>提供DDoS攻击监控、攻击防护和分析溯源的网络安全服务。</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1136FA"/>
    <w:multiLevelType w:val="singleLevel"/>
    <w:tmpl w:val="2D1136FA"/>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B941C3"/>
    <w:rsid w:val="26BB2479"/>
    <w:rsid w:val="64421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szCs w:val="21"/>
      <w:lang w:val="en-US" w:eastAsia="zh-CN" w:bidi="ar-SA"/>
    </w:rPr>
  </w:style>
  <w:style w:type="paragraph" w:styleId="3">
    <w:name w:val="heading 1"/>
    <w:basedOn w:val="1"/>
    <w:next w:val="1"/>
    <w:qFormat/>
    <w:uiPriority w:val="99"/>
    <w:pPr>
      <w:keepNext/>
      <w:keepLines/>
      <w:widowControl w:val="0"/>
      <w:spacing w:before="340" w:after="330" w:line="576" w:lineRule="auto"/>
      <w:outlineLvl w:val="0"/>
    </w:pPr>
    <w:rPr>
      <w:rFonts w:ascii="Calibri" w:hAnsi="Calibri"/>
      <w:b/>
      <w:bCs/>
      <w:kern w:val="44"/>
      <w:sz w:val="44"/>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Times New Roman" w:hAnsi="Times New Roman"/>
      <w:kern w:val="2"/>
      <w:sz w:val="21"/>
      <w:szCs w:val="24"/>
    </w:rPr>
  </w:style>
  <w:style w:type="paragraph" w:styleId="4">
    <w:name w:val="Body Text Indent"/>
    <w:basedOn w:val="1"/>
    <w:unhideWhenUsed/>
    <w:qFormat/>
    <w:uiPriority w:val="99"/>
    <w:pPr>
      <w:spacing w:line="460" w:lineRule="exact"/>
      <w:ind w:firstLine="510"/>
    </w:pPr>
    <w:rPr>
      <w:rFonts w:ascii="Calibri" w:hAnsi="Calibri"/>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2023-07-04T01:47:00Z</dcterms:created>
  <dc:creator>CMCC</dc:creator>
  <cp:lastModifiedBy>信息统计中心部门账号</cp:lastModifiedBy>
  <dcterms:modified xsi:type="dcterms:W3CDTF">2023-07-06T02:15:34Z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58CA8BC8BAD8464F860644DC1C172455</vt:lpwstr>
  </property>
</Properties>
</file>