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昆明医科大学第二附属医院宣传物料设计制作安装项目</w:t>
      </w:r>
    </w:p>
    <w:p>
      <w:pPr>
        <w:numPr>
          <w:ilvl w:val="0"/>
          <w:numId w:val="1"/>
        </w:num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响应文件编制要求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响应文件由报价部分、综合部分、资格证明文件部分三部分组成。</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8"/>
          <w:szCs w:val="28"/>
          <w:lang w:eastAsia="zh-CN"/>
        </w:rPr>
        <w:t>报价部分主要包括下列内容：</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根据下表进行报价。</w:t>
      </w:r>
    </w:p>
    <w:tbl>
      <w:tblPr>
        <w:tblStyle w:val="8"/>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5"/>
        <w:gridCol w:w="1223"/>
        <w:gridCol w:w="3796"/>
        <w:gridCol w:w="1060"/>
        <w:gridCol w:w="1442"/>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2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379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10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计价单位</w:t>
            </w:r>
          </w:p>
        </w:tc>
        <w:tc>
          <w:tcPr>
            <w:tcW w:w="14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含设计制作安装</w:t>
            </w:r>
            <w:r>
              <w:rPr>
                <w:rFonts w:hint="eastAsia" w:ascii="宋体" w:hAnsi="宋体" w:cs="宋体"/>
                <w:i w:val="0"/>
                <w:iCs w:val="0"/>
                <w:color w:val="000000"/>
                <w:kern w:val="0"/>
                <w:sz w:val="20"/>
                <w:szCs w:val="20"/>
                <w:u w:val="none"/>
                <w:lang w:val="en-US" w:eastAsia="zh-CN" w:bidi="ar"/>
              </w:rPr>
              <w:t>最高限价</w:t>
            </w:r>
            <w:r>
              <w:rPr>
                <w:rFonts w:hint="eastAsia" w:ascii="宋体" w:hAnsi="宋体" w:eastAsia="宋体" w:cs="宋体"/>
                <w:i w:val="0"/>
                <w:iCs w:val="0"/>
                <w:color w:val="000000"/>
                <w:kern w:val="0"/>
                <w:sz w:val="20"/>
                <w:szCs w:val="20"/>
                <w:u w:val="none"/>
                <w:lang w:val="en-US" w:eastAsia="zh-CN" w:bidi="ar"/>
              </w:rPr>
              <w:t>（元）</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223"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喷绘</w:t>
            </w:r>
          </w:p>
        </w:tc>
        <w:tc>
          <w:tcPr>
            <w:tcW w:w="3796" w:type="dxa"/>
            <w:tcBorders>
              <w:top w:val="single" w:color="000000" w:sz="4" w:space="0"/>
              <w:left w:val="single" w:color="auto"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外光灯布520</w:t>
            </w:r>
          </w:p>
        </w:tc>
        <w:tc>
          <w:tcPr>
            <w:tcW w:w="10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auto"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内光灯布（刀刮布）</w:t>
            </w:r>
          </w:p>
        </w:tc>
        <w:tc>
          <w:tcPr>
            <w:tcW w:w="10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auto"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高精喷绘320</w:t>
            </w:r>
          </w:p>
        </w:tc>
        <w:tc>
          <w:tcPr>
            <w:tcW w:w="10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auto"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高精喷绘520</w:t>
            </w:r>
          </w:p>
        </w:tc>
        <w:tc>
          <w:tcPr>
            <w:tcW w:w="10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223"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写真</w:t>
            </w:r>
          </w:p>
        </w:tc>
        <w:tc>
          <w:tcPr>
            <w:tcW w:w="379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户内写真110kg过膜</w:t>
            </w:r>
          </w:p>
        </w:tc>
        <w:tc>
          <w:tcPr>
            <w:tcW w:w="10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户内PVC胶片写真过膜</w:t>
            </w:r>
          </w:p>
        </w:tc>
        <w:tc>
          <w:tcPr>
            <w:tcW w:w="10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户外写真220kg</w:t>
            </w:r>
          </w:p>
        </w:tc>
        <w:tc>
          <w:tcPr>
            <w:tcW w:w="10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高精户内写真160kg过膜</w:t>
            </w:r>
          </w:p>
        </w:tc>
        <w:tc>
          <w:tcPr>
            <w:tcW w:w="10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户外写真不干胶过膜</w:t>
            </w:r>
          </w:p>
        </w:tc>
        <w:tc>
          <w:tcPr>
            <w:tcW w:w="10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户外PVC胶片写真过膜</w:t>
            </w:r>
          </w:p>
        </w:tc>
        <w:tc>
          <w:tcPr>
            <w:tcW w:w="10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38</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1223"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指示牌</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铝合金指示牌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专用铝型1.5mm材槽面板，汽车烤漆、图文丝印，专用铝型材边框，</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铝合金指示牌：</w:t>
            </w:r>
            <w:r>
              <w:rPr>
                <w:rFonts w:hint="eastAsia" w:ascii="宋体" w:hAnsi="宋体" w:eastAsia="宋体" w:cs="宋体"/>
                <w:i w:val="0"/>
                <w:iCs w:val="0"/>
                <w:color w:val="000000"/>
                <w:kern w:val="0"/>
                <w:sz w:val="20"/>
                <w:szCs w:val="20"/>
                <w:u w:val="none"/>
                <w:lang w:val="en-US" w:eastAsia="zh-CN" w:bidi="ar"/>
              </w:rPr>
              <w:t>专用铝型2mm材槽面板，汽车烤漆、图文丝印，专用铝型材边框，</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亚克力指示牌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5mm亚克力面板+5mmPVC 底板，画面高精度车贴</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122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插卡牌</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亚克力插卡牌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亚克力底板UV打印+表面亚克力盒子+亚克力插卡</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雪弗板指示牌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20mm 雪弗板，喷漆丝印</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雪弗板指示牌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20mm 雪弗板，UV印刷</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宣传公示牌</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高强度KT板底板、高精UV打印 车身贴，专用 ABS 边框；</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220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10mmPVC底板、烤漆、图文丝印、3+3mm 亚克力相片盒</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室外宣传栏</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201#不锈钢造型</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公告/信息栏（购买）</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2050*1030，1.2mm不锈钢制作、汽车烤漆图文丝印</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PVC画夹</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 亚克力面板+5mmPVC 底板，画面高精度车身贴，</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 亚克力面板+20mmPVC 底板，画面高精度车身贴，</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9</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铝合金画框</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铝合金+钢化玻璃+密度板+PP</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铝合金广告框相框+亚克力面板+PP</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380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挂画装裱</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咖啡色边框+玻璃面板+画面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原木边框+玻璃面板+画面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 展架</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600*1600加厚型架子pvc画面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800*1800加厚型架子pvc画面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展架画面</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600*1600高清加厚PVC画面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800*1800高清加厚PVC画面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门型展架</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800*1800加厚型架子pvc画面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800*1800加厚型架子pvc画面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L型水牌</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600*900不锈钢框架，脚架直径3cm的不锈钢管（注砂），厚度1.5mm；底板厚5mm的铝塑板</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立式水牌</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不锈钢支架</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220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钛金牌</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拱面/平面钛金拉丝牌，厚1.2mm，含安装及配件</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不锈钢牌</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拱面/平面钛金拉丝牌，厚1.2mm，含安装及配件</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铜牌标识</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木底上贴铜板腐蚀拉丝烤漆</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680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易拉宝</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规格：800mmX2000mm，加厚型易拉宝pvc画面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规格：1200mmX2000mm，加厚型易拉宝pvc画面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规格：800mmX2000mm，普通型易拉宝PP画面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规格：1200mmX2000mm，普通型易拉宝PP画面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0</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布标</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合成纤维布uv打印，</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印字袖章</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合成纤维布印字，含别针</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水晶字</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亚克力厚5mm 加3mm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亚克力8mm 加3mm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亚克力10mm 加3mm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亚克力20mm 加3mm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23</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PVC字</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 PVC激光雕刻、烤漆</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 PVC激光雕刻、烤漆</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 PVC激光雕刻、烤漆</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车贴</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黑胶车贴</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高精度车贴</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斜纹膜黑胶车贴</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雪弗板</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PVC发泡板，厚5mm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PVC发泡板，厚10mm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PVC发泡板，厚15mm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PVC发泡板，厚20mm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26</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铝板</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厚度1.2mm铝板材UV印刷</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厚度2mm铝板材UV印刷</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360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车贴裱铝塑板（哑光膜）</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KT板</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厚度5mm聚苯乙烯,PS 颗粒通过发泡形成板芯</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29</w:t>
            </w:r>
          </w:p>
        </w:tc>
        <w:tc>
          <w:tcPr>
            <w:tcW w:w="122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安迪板（PVC板）</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3MM厚</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5MM厚</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8MM厚</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亚克力板</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聚甲基丙烯酸甲酯，厚3mm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聚甲基丙烯酸甲酯，厚5mm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聚甲基丙烯酸甲酯，厚8mm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聚甲基丙烯酸甲酯，厚10mm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31</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院徽</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铝板腐蚀印刷</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按500个计算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122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旗帜</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涤纶材料，144cmX96cm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Arial" w:hAnsi="Arial" w:eastAsia="Arial" w:cs="Arial"/>
                <w:i w:val="0"/>
                <w:iCs w:val="0"/>
                <w:caps w:val="0"/>
                <w:color w:val="333333"/>
                <w:spacing w:val="0"/>
                <w:sz w:val="21"/>
                <w:szCs w:val="21"/>
                <w:shd w:val="clear" w:color="auto" w:fill="FFFFFF"/>
              </w:rPr>
            </w:pPr>
            <w:r>
              <w:rPr>
                <w:rFonts w:ascii="Arial" w:hAnsi="Arial" w:eastAsia="Arial" w:cs="Arial"/>
                <w:i w:val="0"/>
                <w:iCs w:val="0"/>
                <w:caps w:val="0"/>
                <w:color w:val="333333"/>
                <w:spacing w:val="0"/>
                <w:sz w:val="21"/>
                <w:szCs w:val="21"/>
                <w:shd w:val="clear" w:color="auto" w:fill="FFFFFF"/>
              </w:rPr>
              <w:t>涤</w:t>
            </w:r>
            <w:r>
              <w:rPr>
                <w:rFonts w:hint="eastAsia" w:ascii="宋体" w:hAnsi="宋体" w:eastAsia="宋体" w:cs="宋体"/>
                <w:i w:val="0"/>
                <w:iCs w:val="0"/>
                <w:color w:val="000000"/>
                <w:kern w:val="0"/>
                <w:sz w:val="20"/>
                <w:szCs w:val="20"/>
                <w:u w:val="none"/>
                <w:lang w:val="en-US" w:eastAsia="zh-CN" w:bidi="ar"/>
              </w:rPr>
              <w:t>纶材料，192cmX168cm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w:t>
            </w:r>
          </w:p>
        </w:tc>
        <w:tc>
          <w:tcPr>
            <w:tcW w:w="1223"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彩旗</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ascii="Arial" w:hAnsi="Arial" w:eastAsia="Arial" w:cs="Arial"/>
                <w:i w:val="0"/>
                <w:iCs w:val="0"/>
                <w:caps w:val="0"/>
                <w:color w:val="333333"/>
                <w:spacing w:val="0"/>
                <w:sz w:val="21"/>
                <w:szCs w:val="21"/>
                <w:shd w:val="clear" w:color="auto" w:fill="FFFFFF"/>
              </w:rPr>
            </w:pPr>
            <w:r>
              <w:rPr>
                <w:rFonts w:hint="eastAsia" w:ascii="宋体" w:hAnsi="宋体" w:eastAsia="宋体" w:cs="宋体"/>
                <w:i w:val="0"/>
                <w:iCs w:val="0"/>
                <w:color w:val="000000"/>
                <w:kern w:val="0"/>
                <w:sz w:val="20"/>
                <w:szCs w:val="20"/>
                <w:u w:val="none"/>
                <w:lang w:val="en-US" w:eastAsia="zh-CN" w:bidi="ar"/>
              </w:rPr>
              <w:t>普通布,1.5*0.8M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34</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即时贴刻字</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35</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铝合金框</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铝型材，铝合金框，可开启式，底板1cm硬结皮PVC，面板3mm透明有机片，可夹车贴或写真。</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36</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桁架（租赁、拆卸、安装）</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方管</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37</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注水道旗</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100×400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120×500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38</w:t>
            </w:r>
          </w:p>
        </w:tc>
        <w:tc>
          <w:tcPr>
            <w:tcW w:w="122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灯笼</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直径20厘米</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直径30厘米</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直径40厘米</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直径50厘米</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23"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照片</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证件照拍摄（含化妆）</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人</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证件照打印（5寸）</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w:t>
            </w:r>
          </w:p>
        </w:tc>
        <w:tc>
          <w:tcPr>
            <w:tcW w:w="1223"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宣传彩页</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普通纸张材质，</w:t>
            </w:r>
            <w:r>
              <w:rPr>
                <w:rFonts w:hint="default" w:ascii="宋体" w:hAnsi="宋体" w:eastAsia="宋体" w:cs="宋体"/>
                <w:i w:val="0"/>
                <w:iCs w:val="0"/>
                <w:color w:val="000000"/>
                <w:kern w:val="0"/>
                <w:sz w:val="20"/>
                <w:szCs w:val="20"/>
                <w:u w:val="none"/>
                <w:lang w:val="en-US" w:eastAsia="zh-CN" w:bidi="ar"/>
              </w:rPr>
              <w:t>32开（130mm×185mm）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0.3</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22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普通纸张材质，16开（185mm×260mm）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22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铜版纸157g/㎡材质，A4（210mm×297mm）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22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铜版纸157g/㎡材质，</w:t>
            </w:r>
            <w:r>
              <w:rPr>
                <w:rFonts w:hint="default" w:ascii="宋体" w:hAnsi="宋体" w:eastAsia="宋体" w:cs="宋体"/>
                <w:i w:val="0"/>
                <w:iCs w:val="0"/>
                <w:color w:val="000000"/>
                <w:kern w:val="0"/>
                <w:sz w:val="20"/>
                <w:szCs w:val="20"/>
                <w:u w:val="none"/>
                <w:lang w:val="en-US" w:eastAsia="zh-CN" w:bidi="ar"/>
              </w:rPr>
              <w:t>32开（130mm×185mm）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2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铜版纸157g/㎡材质，16开（185mm×260mm）</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0.8</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41</w:t>
            </w:r>
          </w:p>
        </w:tc>
        <w:tc>
          <w:tcPr>
            <w:tcW w:w="1223"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宣传册</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尺寸16开（185mm×260mm）内页157g/㎡铜版纸，封面200g/㎡铜版纸，覆膜，印金银等专色、局部UV、烫金烫银、击凸等特殊工艺</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本</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2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尺寸A4（210mm×297mm）内页157g/㎡铜版纸，封面200g/㎡铜版纸，覆膜，印金银等专色、局部UV、烫金烫银、击凸等特殊工艺</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本</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35</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30页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42</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小计</w:t>
            </w:r>
          </w:p>
        </w:tc>
        <w:tc>
          <w:tcPr>
            <w:tcW w:w="3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质保期及到货期：</w:t>
            </w:r>
          </w:p>
        </w:tc>
        <w:tc>
          <w:tcPr>
            <w:tcW w:w="729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以院方要求为准</w:t>
            </w:r>
          </w:p>
        </w:tc>
      </w:tr>
    </w:tbl>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bookmarkStart w:id="0" w:name="_Toc38173200"/>
      <w:bookmarkStart w:id="1" w:name="_Toc316850018"/>
      <w:bookmarkStart w:id="2" w:name="_Toc196042794"/>
      <w:r>
        <w:rPr>
          <w:rFonts w:hint="eastAsia" w:ascii="仿宋_GB2312" w:hAnsi="仿宋_GB2312" w:eastAsia="仿宋_GB2312" w:cs="仿宋_GB2312"/>
          <w:sz w:val="28"/>
          <w:szCs w:val="28"/>
          <w:lang w:eastAsia="zh-CN"/>
        </w:rPr>
        <w:t>本项目报价方式：包干单价。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的包干单价应包含项目所有费用（投标报价包括但不限于：设备费、人工费、运输费、安装调试费、税金等所有费用。以及伴随服务（投标、中标、签订合同并履约）过程中所发生的一切费用的最终报价）不允许另有折扣说明。乙方一旦成交，在合同实施期间均不作调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（二）综合部分（格式自拟）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1.设计方案（</w:t>
      </w:r>
      <w:r>
        <w:rPr>
          <w:rFonts w:hint="eastAsia" w:ascii="仿宋_GB2312" w:hAnsi="仿宋_GB2312" w:eastAsia="仿宋_GB2312" w:cs="仿宋_GB2312"/>
          <w:sz w:val="28"/>
          <w:szCs w:val="28"/>
          <w:lang w:val="en-US" w:eastAsia="zh-CN"/>
        </w:rPr>
        <w:t>党建文化墙和健康教育宣传栏</w:t>
      </w:r>
      <w:r>
        <w:rPr>
          <w:rFonts w:hint="eastAsia" w:ascii="仿宋_GB2312" w:hAnsi="仿宋_GB2312" w:eastAsia="仿宋_GB2312" w:cs="仿宋_GB2312"/>
          <w:sz w:val="28"/>
          <w:szCs w:val="28"/>
          <w:lang w:eastAsia="zh-CN"/>
        </w:rPr>
        <w:t>，以该项目为例提供设计制作方案）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（1）参考尺寸：</w:t>
      </w:r>
      <w:r>
        <w:rPr>
          <w:rFonts w:hint="eastAsia" w:ascii="仿宋_GB2312" w:hAnsi="仿宋_GB2312" w:eastAsia="仿宋_GB2312" w:cs="仿宋_GB2312"/>
          <w:sz w:val="28"/>
          <w:szCs w:val="28"/>
          <w:lang w:val="en-US" w:eastAsia="zh-CN"/>
        </w:rPr>
        <w:t>240</w:t>
      </w:r>
      <w:r>
        <w:rPr>
          <w:rFonts w:hint="eastAsia" w:ascii="仿宋_GB2312" w:hAnsi="仿宋_GB2312" w:eastAsia="仿宋_GB2312" w:cs="仿宋_GB2312"/>
          <w:sz w:val="28"/>
          <w:szCs w:val="28"/>
          <w:lang w:eastAsia="zh-CN"/>
        </w:rPr>
        <w:t>厘米×</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eastAsia="zh-CN"/>
        </w:rPr>
        <w:t>0厘米。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（2）内容：自行设计，设计稿件不得抄袭。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（3）设计图稿</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幅，</w:t>
      </w:r>
      <w:r>
        <w:rPr>
          <w:rFonts w:hint="eastAsia" w:ascii="仿宋_GB2312" w:hAnsi="仿宋_GB2312" w:eastAsia="仿宋_GB2312" w:cs="仿宋_GB2312"/>
          <w:sz w:val="28"/>
          <w:szCs w:val="28"/>
          <w:lang w:val="en-US" w:eastAsia="zh-CN"/>
        </w:rPr>
        <w:t>党建文化墙和健康教育宣传栏各1幅。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2.设计团队介绍，组织安装施工措施等；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3.近三年业绩（设计或制作、安装合同）。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（三）资格证明文件（加盖公章）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1.法定代表人身份证明书（附法定代表人身份证复印件）；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2.法定代表人授权委托书（附被授权人身份证复印件）；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.企业资质等相关证明材料复印件；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4.其他资格证明文件：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具有良好的商业信誉和健全的财务会计制度，投标人须提供财务状况报告，内容可为近三个月内开户银行出具的资信证明或资金存款证明（复印件）或（2021年至2024年任意一年度）经审计的财务审计报告及财务报表（须包括审计报告、资产负债表、利润表、现金流量表），如投标人成立时间不足一年的，提供自成立至今的财务报表或相关情况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（2）具有履行合同所必须的设备和专业技术能力，提供书面声明。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有依法缴纳税收和社会保障资金的良好记录，提供缴费所属时期在2021年01月至本项目投标文件提交截止时间前任意连续2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三年内在经营活动中没有重大违法记录（重大违法记录是指投标人因违法经营受到刑事处罚或者责令停产停业、吊销许可证或者执照、较大数额罚款等行政处罚），提供“三年内在经营活动中没有重大违法记录的书面声明”（成立未满三年的投标人提供成立以来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（四）投标人认为有必要提供的其他文件（格式自拟）</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二、评标程序及标准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（一）符合性评审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依据招标文件的规定，评标委员会对符合资格的投标人的投标文件从有效性、完整性和对招标文件的实质性响应程度等方面进行审查，见评标方法附表。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（二）详细评审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评标委员会按照招标文件中规定的评标方法和标准，对符合性审查合格的投标文件进行商务和技术评估，综合比较与评价,见评标方法。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（三）评标结果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评标委员会按最终得分由高到低顺序推荐1名中标候选人。</w:t>
      </w:r>
    </w:p>
    <w:tbl>
      <w:tblPr>
        <w:tblStyle w:val="9"/>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2903"/>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评审程序</w:t>
            </w:r>
          </w:p>
        </w:tc>
        <w:tc>
          <w:tcPr>
            <w:tcW w:w="2903" w:type="dxa"/>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2905" w:type="dxa"/>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3" w:type="dxa"/>
            <w:vMerge w:val="restart"/>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符合性评审标准</w:t>
            </w:r>
          </w:p>
        </w:tc>
        <w:tc>
          <w:tcPr>
            <w:tcW w:w="5808" w:type="dxa"/>
            <w:gridSpan w:val="2"/>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投标人存在下列情况之一的，投标无效：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vMerge w:val="continue"/>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2903"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签署、盖章</w:t>
            </w:r>
          </w:p>
        </w:tc>
        <w:tc>
          <w:tcPr>
            <w:tcW w:w="2905"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vMerge w:val="continue"/>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2903"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法定代表人身份证明书及法定代表人授权委托书</w:t>
            </w:r>
          </w:p>
        </w:tc>
        <w:tc>
          <w:tcPr>
            <w:tcW w:w="2905"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vMerge w:val="continue"/>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2903"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投标报价</w:t>
            </w:r>
          </w:p>
        </w:tc>
        <w:tc>
          <w:tcPr>
            <w:tcW w:w="2905"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投标报价超过招标文件中规定的预算金额或者最高限价的；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vMerge w:val="continue"/>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2903"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不能接受的附加条件</w:t>
            </w:r>
          </w:p>
        </w:tc>
        <w:tc>
          <w:tcPr>
            <w:tcW w:w="2905"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vMerge w:val="continue"/>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2903"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其它实质性条件</w:t>
            </w:r>
          </w:p>
        </w:tc>
        <w:tc>
          <w:tcPr>
            <w:tcW w:w="2905"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未实质性响应招标文件中标注★条款内容的；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vMerge w:val="continue"/>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2903"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其他无效情形</w:t>
            </w:r>
          </w:p>
        </w:tc>
        <w:tc>
          <w:tcPr>
            <w:tcW w:w="2905"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法律、法规和招标文件规定的其他无效情形。</w:t>
            </w:r>
          </w:p>
        </w:tc>
      </w:tr>
    </w:tbl>
    <w:p>
      <w:pPr>
        <w:widowControl w:val="0"/>
        <w:numPr>
          <w:ilvl w:val="0"/>
          <w:numId w:val="0"/>
        </w:numPr>
        <w:jc w:val="both"/>
        <w:rPr>
          <w:rFonts w:hint="eastAsia" w:ascii="仿宋_GB2312" w:hAnsi="仿宋_GB2312" w:eastAsia="仿宋_GB2312" w:cs="仿宋_GB2312"/>
          <w:sz w:val="28"/>
          <w:szCs w:val="28"/>
          <w:lang w:val="en-US" w:eastAsia="zh-CN"/>
        </w:rPr>
      </w:pPr>
    </w:p>
    <w:tbl>
      <w:tblPr>
        <w:tblStyle w:val="9"/>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713"/>
        <w:gridCol w:w="6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评审程序</w:t>
            </w:r>
          </w:p>
        </w:tc>
        <w:tc>
          <w:tcPr>
            <w:tcW w:w="713" w:type="dxa"/>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6412" w:type="dxa"/>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restart"/>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资格评审标准</w:t>
            </w:r>
          </w:p>
        </w:tc>
        <w:tc>
          <w:tcPr>
            <w:tcW w:w="7125" w:type="dxa"/>
            <w:gridSpan w:val="2"/>
            <w:vAlign w:val="top"/>
          </w:tcPr>
          <w:p>
            <w:pPr>
              <w:widowControl w:val="0"/>
              <w:numPr>
                <w:ilvl w:val="0"/>
                <w:numId w:val="0"/>
              </w:num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713"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6412"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投标人必须具备独立承担民事责任的能力，提供法人或者其他组织的营业执照等证明文件；投标人是自然人的，提供自然人身份证明（扫描件加盖电子公章）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713"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6412"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投标人须提供财务状况报告，内容可为以下</w:t>
            </w:r>
            <w:r>
              <w:rPr>
                <w:rFonts w:hint="eastAsia" w:ascii="仿宋_GB2312" w:hAnsi="仿宋_GB2312" w:eastAsia="仿宋_GB2312" w:cs="仿宋_GB2312"/>
                <w:sz w:val="28"/>
                <w:szCs w:val="28"/>
                <w:highlight w:val="yellow"/>
              </w:rPr>
              <w:t>三者之一</w:t>
            </w:r>
            <w:r>
              <w:rPr>
                <w:rFonts w:hint="eastAsia" w:ascii="仿宋_GB2312" w:hAnsi="仿宋_GB2312" w:eastAsia="仿宋_GB2312" w:cs="仿宋_GB2312"/>
                <w:sz w:val="28"/>
                <w:szCs w:val="28"/>
              </w:rPr>
              <w:t>：1）近三个月内基本开户银行出具的资信证明（扫描件加盖电子公章）2）20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年任意一年度经审计的财务审计报告，包括“四表一注”，即资产负债表、利润表、现金流量表、所有者权益变动表及其附注（扫描件加盖电子公</w:t>
            </w:r>
            <w:bookmarkStart w:id="3" w:name="_GoBack"/>
            <w:bookmarkEnd w:id="3"/>
            <w:r>
              <w:rPr>
                <w:rFonts w:hint="eastAsia" w:ascii="仿宋_GB2312" w:hAnsi="仿宋_GB2312" w:eastAsia="仿宋_GB2312" w:cs="仿宋_GB2312"/>
                <w:sz w:val="28"/>
                <w:szCs w:val="28"/>
              </w:rPr>
              <w:t>章）；3）财政部门认可的政府采购专业担保机构出具的投标担保函，须同时提供专业担保机构经财政部门认可的证明文件。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713"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6412"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纳税证明材料的时间范围：缴税所属时间在202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月至投标截止日期前</w:t>
            </w:r>
            <w:r>
              <w:rPr>
                <w:rFonts w:hint="eastAsia" w:ascii="仿宋_GB2312" w:hAnsi="仿宋_GB2312" w:eastAsia="仿宋_GB2312" w:cs="仿宋_GB2312"/>
                <w:sz w:val="28"/>
                <w:szCs w:val="28"/>
                <w:highlight w:val="yellow"/>
              </w:rPr>
              <w:t>任意连续2个月</w:t>
            </w:r>
            <w:r>
              <w:rPr>
                <w:rFonts w:hint="eastAsia" w:ascii="仿宋_GB2312" w:hAnsi="仿宋_GB2312" w:eastAsia="仿宋_GB2312" w:cs="仿宋_GB2312"/>
                <w:sz w:val="28"/>
                <w:szCs w:val="28"/>
              </w:rPr>
              <w:t>的税务局税收通用缴款书扫描件或银行电子缴税（费）凭证扫描件或税务局出具纳税情况的相关证明扫描件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713"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6412"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缴纳社会保险证明材料的时间范围：缴费所属时间在202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月至投标截止日期前</w:t>
            </w:r>
            <w:r>
              <w:rPr>
                <w:rFonts w:hint="eastAsia" w:ascii="仿宋_GB2312" w:hAnsi="仿宋_GB2312" w:eastAsia="仿宋_GB2312" w:cs="仿宋_GB2312"/>
                <w:sz w:val="28"/>
                <w:szCs w:val="28"/>
                <w:highlight w:val="yellow"/>
              </w:rPr>
              <w:t>任意连续2个月</w:t>
            </w:r>
            <w:r>
              <w:rPr>
                <w:rFonts w:hint="eastAsia" w:ascii="仿宋_GB2312" w:hAnsi="仿宋_GB2312" w:eastAsia="仿宋_GB2312" w:cs="仿宋_GB2312"/>
                <w:sz w:val="28"/>
                <w:szCs w:val="28"/>
              </w:rPr>
              <w:t>的社会保险费缴款书扫描件或银行电子缴税（费）凭证扫描件或社保管理部门出具的有效的缴款证明扫描件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713"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6412"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投标人须提供具备履行合同所必需的设备和专业技术能力的证明材料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widowControl w:val="0"/>
              <w:numPr>
                <w:ilvl w:val="0"/>
                <w:numId w:val="0"/>
              </w:numPr>
              <w:jc w:val="both"/>
              <w:rPr>
                <w:rFonts w:hint="eastAsia" w:ascii="仿宋_GB2312" w:hAnsi="仿宋_GB2312" w:eastAsia="仿宋_GB2312" w:cs="仿宋_GB2312"/>
                <w:sz w:val="28"/>
                <w:szCs w:val="28"/>
                <w:vertAlign w:val="baseline"/>
                <w:lang w:val="en-US" w:eastAsia="zh-CN"/>
              </w:rPr>
            </w:pPr>
          </w:p>
        </w:tc>
        <w:tc>
          <w:tcPr>
            <w:tcW w:w="713"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6412"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投标人必须提供参加政府采购活动前3年内在经营活动中没有重大违法记录的书面声明（重大违法记录，是指供应商因违法经营受到刑事处罚或者责令停产停业、吊销许可证或者执照、较大数额罚款等行政处罚）</w:t>
            </w:r>
          </w:p>
        </w:tc>
      </w:tr>
    </w:tbl>
    <w:p>
      <w:pPr>
        <w:widowControl w:val="0"/>
        <w:numPr>
          <w:ilvl w:val="0"/>
          <w:numId w:val="0"/>
        </w:numPr>
        <w:jc w:val="both"/>
        <w:rPr>
          <w:rFonts w:hint="eastAsia" w:ascii="仿宋_GB2312" w:hAnsi="仿宋_GB2312" w:eastAsia="仿宋_GB2312" w:cs="仿宋_GB2312"/>
          <w:sz w:val="28"/>
          <w:szCs w:val="28"/>
          <w:lang w:val="en-US" w:eastAsia="zh-CN"/>
        </w:rPr>
      </w:pP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详细评审：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（1）报价部分（0～40分）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评标基准价等于所有通过初步审查供应商最终报价的最低值；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投标报价计算得分=(评标基准价／投标报价)×40。</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（2）设计方案部分（0～30分）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a.根据拟建廉政文化墙提交设计制作方案，包括设计图稿、选材用料、设计制作费用，设计图稿美观大方，选材用料合理、符合要求，费用报价合理（25～30分）；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 根据拟建廉政文化墙提交设计制作方案，包括设计图稿、选材用料、设计制作费用，设计图稿较为美观，选材用料较合理、基本符合要求，费用报价较合理（16～24分）；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 根据拟建廉政文化墙提交设计制作方案，包括设计图稿、选材用料、设计制作费用，设计图稿尚可，选材用料基本符合要求，费用报价基本合理（1～15分）；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（3）业绩部分（0～10分）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2019年至今乙方承担过的类似项目业绩（设计或制作、安装合同），每有1个得2分（10分为上限）。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（4）维保承诺（0～10分）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a．工程质量符合国家标准,乙方承诺积极响应甲方维保要求，甲方有维保需求，24小时内予以处理（10分）；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b．工程质量符合国家标准,乙方未承诺积极响应甲方维保要求（0分）。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（5）企业实力及信誉（0～10分）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a．竞磋人的企业实力强、设计团队能力强、信誉很好，无不良记录（8～10分）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 竞磋人的企业实力较好、设计团队能力较好、信誉较好，无不良记录（5～7分）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 竞磋人的企业实力一般、设计团队能力一般、信誉一般，无不良记录（0～分）</w:t>
      </w:r>
    </w:p>
    <w:p>
      <w:pPr>
        <w:widowControl w:val="0"/>
        <w:numPr>
          <w:ilvl w:val="0"/>
          <w:numId w:val="0"/>
        </w:num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三、投标人须知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1.不论投标结果如何，投标人均应自行承担所有与准备和参加投标活动有关的全部费用。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2.有下列情形之一的，视为投标人串通投标，其投标无效：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（一）不同投标人的投标文件由同一单位或者个人编制；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（二）不同投标人委托同一单位或者个人办理投标事宜；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（三）不同投标人的投标文件载明的项目管理成员或者联系人员为同一人；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（四）不同投标人的投标文件异常一致或者投标报价呈规律性差异；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（五）不同投标人的投标文件相互混装。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3.中标结果公示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昆明医科大学第二附属医院资产管理处公示栏。</w:t>
      </w:r>
    </w:p>
    <w:p>
      <w:pPr>
        <w:rPr>
          <w:rFonts w:hint="eastAsia"/>
          <w:lang w:eastAsia="zh-CN"/>
        </w:rPr>
      </w:pPr>
    </w:p>
    <w:bookmarkEnd w:id="0"/>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EA9F8"/>
    <w:multiLevelType w:val="singleLevel"/>
    <w:tmpl w:val="AEAEA9F8"/>
    <w:lvl w:ilvl="0" w:tentative="0">
      <w:start w:val="1"/>
      <w:numFmt w:val="chineseCounting"/>
      <w:suff w:val="nothing"/>
      <w:lvlText w:val="%1、"/>
      <w:lvlJc w:val="left"/>
      <w:rPr>
        <w:rFonts w:hint="eastAsia"/>
      </w:rPr>
    </w:lvl>
  </w:abstractNum>
  <w:abstractNum w:abstractNumId="1">
    <w:nsid w:val="E879855C"/>
    <w:multiLevelType w:val="singleLevel"/>
    <w:tmpl w:val="E879855C"/>
    <w:lvl w:ilvl="0" w:tentative="0">
      <w:start w:val="1"/>
      <w:numFmt w:val="decimal"/>
      <w:lvlText w:val="%1."/>
      <w:lvlJc w:val="left"/>
      <w:pPr>
        <w:tabs>
          <w:tab w:val="left" w:pos="312"/>
        </w:tabs>
      </w:pPr>
    </w:lvl>
  </w:abstractNum>
  <w:abstractNum w:abstractNumId="2">
    <w:nsid w:val="1645B54C"/>
    <w:multiLevelType w:val="singleLevel"/>
    <w:tmpl w:val="1645B54C"/>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zIwZjZiMTcwOGE2MDk4OGFiYjJiNWQ4ZDE0ZGIifQ=="/>
  </w:docVars>
  <w:rsids>
    <w:rsidRoot w:val="00000000"/>
    <w:rsid w:val="010019A2"/>
    <w:rsid w:val="031E31F5"/>
    <w:rsid w:val="03F2530F"/>
    <w:rsid w:val="040C60EE"/>
    <w:rsid w:val="04DD5D12"/>
    <w:rsid w:val="051316FC"/>
    <w:rsid w:val="051C5408"/>
    <w:rsid w:val="0EBF6511"/>
    <w:rsid w:val="105820E1"/>
    <w:rsid w:val="155449DD"/>
    <w:rsid w:val="181E2688"/>
    <w:rsid w:val="1D5C26C5"/>
    <w:rsid w:val="1FEE73CA"/>
    <w:rsid w:val="23F977D3"/>
    <w:rsid w:val="2AF54F7D"/>
    <w:rsid w:val="306D421A"/>
    <w:rsid w:val="3B407636"/>
    <w:rsid w:val="45717914"/>
    <w:rsid w:val="4835521C"/>
    <w:rsid w:val="48D82FAB"/>
    <w:rsid w:val="48E94007"/>
    <w:rsid w:val="4938350A"/>
    <w:rsid w:val="4CA97A2F"/>
    <w:rsid w:val="527772AE"/>
    <w:rsid w:val="5DAF5613"/>
    <w:rsid w:val="5FCF2989"/>
    <w:rsid w:val="60233DD3"/>
    <w:rsid w:val="67D037A0"/>
    <w:rsid w:val="6AF31AEC"/>
    <w:rsid w:val="6C7C2B64"/>
    <w:rsid w:val="717402AD"/>
    <w:rsid w:val="72312D2B"/>
    <w:rsid w:val="76941967"/>
    <w:rsid w:val="76D840EC"/>
    <w:rsid w:val="7AFE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spacing w:line="400" w:lineRule="exact"/>
      <w:jc w:val="center"/>
      <w:outlineLvl w:val="1"/>
    </w:pPr>
    <w:rPr>
      <w:rFonts w:ascii="Arial" w:hAnsi="Arial"/>
      <w:b/>
      <w:kern w:val="0"/>
      <w:sz w:val="3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ind w:firstLine="100" w:firstLineChars="100"/>
    </w:pPr>
    <w:rPr>
      <w:rFonts w:ascii="Calibri" w:hAnsi="Calibri"/>
    </w:rPr>
  </w:style>
  <w:style w:type="paragraph" w:styleId="3">
    <w:name w:val="Body Text"/>
    <w:basedOn w:val="1"/>
    <w:next w:val="1"/>
    <w:qFormat/>
    <w:uiPriority w:val="99"/>
    <w:pPr>
      <w:adjustRightInd w:val="0"/>
      <w:spacing w:line="440" w:lineRule="exact"/>
    </w:pPr>
    <w:rPr>
      <w:rFonts w:ascii="宋体" w:hAnsi="宋体"/>
      <w:bCs/>
      <w:color w:val="000000"/>
      <w:sz w:val="24"/>
    </w:rPr>
  </w:style>
  <w:style w:type="paragraph" w:styleId="5">
    <w:name w:val="Normal Indent"/>
    <w:basedOn w:val="1"/>
    <w:next w:val="1"/>
    <w:qFormat/>
    <w:uiPriority w:val="0"/>
    <w:pPr>
      <w:ind w:firstLine="420"/>
    </w:pPr>
    <w:rPr>
      <w:kern w:val="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99"/>
    <w:pPr>
      <w:widowControl/>
      <w:spacing w:before="100" w:beforeAutospacing="1" w:after="100" w:afterAutospacing="1" w:line="330" w:lineRule="atLeast"/>
      <w:jc w:val="left"/>
    </w:pPr>
    <w:rPr>
      <w:rFonts w:ascii="宋体" w:hAnsi="宋体" w:cs="宋体"/>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2024-03-19T06:44:00Z</dcterms:created>
  <dc:creator>Administrator</dc:creator>
  <cp:lastModifiedBy>Administrator</cp:lastModifiedBy>
  <dcterms:modified xsi:type="dcterms:W3CDTF">2024-05-14T07:05:03Z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882222A58FDA41F68CD5F035DE55D359_12</vt:lpwstr>
  </property>
</Properties>
</file>