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</w:pPr>
    </w:p>
    <w:p>
      <w:pPr>
        <w:pStyle w:val="2"/>
        <w:ind w:left="23" w:hanging="145"/>
        <w:jc w:val="center"/>
        <w:rPr>
          <w:rFonts w:hint="default"/>
          <w:lang w:val="en-US"/>
        </w:rPr>
      </w:pPr>
      <w:r>
        <w:rPr>
          <w:rFonts w:hint="default"/>
          <w:lang w:val="en-US"/>
        </w:rPr>
        <w:t>蛋白电泳系统技术参数</w:t>
      </w:r>
    </w:p>
    <w:p>
      <w:pPr>
        <w:numPr>
          <w:ilvl w:val="0"/>
          <w:numId w:val="0"/>
        </w:numPr>
        <w:ind w:left="23" w:hanging="145"/>
        <w:jc w:val="center"/>
      </w:pPr>
    </w:p>
    <w:p>
      <w:pPr>
        <w:numPr>
          <w:ilvl w:val="0"/>
          <w:numId w:val="0"/>
        </w:numPr>
        <w:ind w:left="23" w:hanging="145"/>
        <w:jc w:val="center"/>
      </w:pP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数量：2套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1．电泳仪电源：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1.1．电源独立的双通道设计，两边输出端口可同时独立输出300V，3.0A，350W模式；设定范围1分钟-99小时59分钟，完全可调；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*1.2．可编程的输出范围：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*1.2.1  10-300V，完全可调，增量为1V；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*1.2.2  0.01-3.0A，完全可调，增量为0.01A；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*1.2.3  1-350W，完全可调，增量为1W；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1.3．可自动切换的恒定电压、恒定电流或恒定功率；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1.4．具有暂停和恢复功能；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1.5．可编辑和储存不少于5个设定程序；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1.6．具有实时时钟功能，具备顺数/倒数时间切换功能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1.7．安全特性:无负荷检测，负荷突变检测，接地泄漏检测，超负荷/短路保护，过电压检测，输入电路保护，停电后自动打开电源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2. 垂直电泳槽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*2.1. 凝胶数：1-4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2.2. 手灌胶：使用玻璃板灌制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2.3  凝胶尺寸（宽X长）：预制：≥86mm x 68mm；手灌：≥83mm x 73mm；各尺寸偏差不超过3mm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2.4  玻璃板尺寸：短玻板 ≥101mm x 73mm ； 长玻板  ≥101mm x 82mm；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sz w:val="24"/>
          <w:szCs w:val="24"/>
          <w:highlight w:val="none"/>
          <w:vertAlign w:val="baseline"/>
          <w:lang w:val="en-US" w:eastAsia="zh-CN" w:bidi="ar-SA"/>
        </w:rPr>
        <w:t>各尺寸偏差不超过3mm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2.5  2块凝胶的缓冲液总体积：≤700ml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2.6  4块凝胶的缓冲液总体积：≤1000ml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2.7  SDS – PAGE经典运行时间 ：35-45分钟（在200V恒定电压下）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2.8  兼容性：可使用适配的预制胶，与转印槽适配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2.9  每套系统配置两个电泳模块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3.  转印槽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3.1．可同时转印2块100nm X 75nm凝胶,也可以进行低强度的隔夜转印;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3.2．近相距的电极以产生强电场保证高效的蛋白转印;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3.3．设有清晰的标志,确保转印过程中凝胶的正确定向;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 xml:space="preserve">3.4．蓝色冰盒可完全置于转印槽内,在快速转印过程中吸收热量; 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3.5．缓冲液要求: ≤1000ml;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3.6. 配置一个转印模块；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4.用途及要求：用于科研使用；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5. 配置要求：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5.1  电泳仪电源：2个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5.2  转印槽及配件：2套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5.3  垂直电泳槽及配件：2套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5.4  制胶架：4个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 xml:space="preserve">5.5  备用电泳槽电源线：4根  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5.6  1.5mm/10孔制胶梳子：4包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5.7  备用制胶密封胶条：4份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5.8  备用电泳槽：8个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default"/>
          <w:lang w:val="en-US"/>
        </w:rPr>
        <w:t>5.9  称量器具：2套（千分之一精度）</w:t>
      </w:r>
    </w:p>
    <w:p>
      <w:pPr>
        <w:numPr>
          <w:ilvl w:val="0"/>
          <w:numId w:val="0"/>
        </w:numPr>
        <w:rPr>
          <w:rFonts w:hint="default" w:eastAsia="宋体"/>
          <w:lang w:val="en-US" w:eastAsia="zh-CN"/>
        </w:rPr>
      </w:pPr>
      <w:r>
        <w:rPr>
          <w:rFonts w:hint="default"/>
          <w:lang w:val="en-US"/>
        </w:rPr>
        <w:t>5.</w:t>
      </w:r>
      <w:r>
        <w:rPr>
          <w:rFonts w:hint="eastAsia"/>
          <w:lang w:val="en-US" w:eastAsia="zh-CN"/>
        </w:rPr>
        <w:t>10</w:t>
      </w:r>
      <w:r>
        <w:rPr>
          <w:rFonts w:hint="default"/>
          <w:lang w:val="en-US"/>
        </w:rPr>
        <w:t xml:space="preserve">  </w:t>
      </w:r>
      <w:r>
        <w:rPr>
          <w:rFonts w:hint="eastAsia"/>
          <w:lang w:val="en-US" w:eastAsia="zh-CN"/>
        </w:rPr>
        <w:t>备用转印冰盒2个</w:t>
      </w:r>
    </w:p>
    <w:p>
      <w:pPr>
        <w:pStyle w:val="16"/>
        <w:spacing w:line="360" w:lineRule="auto"/>
        <w:ind w:firstLine="0" w:firstLineChars="0"/>
      </w:pPr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0" w:h="16840"/>
      <w:pgMar w:top="1440" w:right="1800" w:bottom="1440" w:left="1800" w:header="794" w:footer="1077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80"/>
      <w:jc w:val="right"/>
      <w:rPr>
        <w:color w:val="3F3F3F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ind w:right="560" w:firstLine="320"/>
      <w:jc w:val="right"/>
      <w:rPr>
        <w:color w:val="3F3F3F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HorizontalSpacing w:val="120"/>
  <w:drawingGridVerticalSpacing w:val="42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9727DAF"/>
    <w:rsid w:val="5D502526"/>
    <w:rsid w:val="75A6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widowControl w:val="0"/>
      <w:spacing w:line="360" w:lineRule="auto"/>
      <w:ind w:left="28" w:leftChars="-51" w:hanging="135" w:hangingChars="45"/>
      <w:jc w:val="center"/>
      <w:outlineLvl w:val="0"/>
    </w:pPr>
    <w:rPr>
      <w:rFonts w:ascii="Times New Roman" w:hAnsi="Times New Roman" w:cs="Times New Roman"/>
      <w:b/>
      <w:color w:val="000000"/>
      <w:kern w:val="2"/>
      <w:sz w:val="32"/>
      <w:szCs w:val="20"/>
    </w:rPr>
  </w:style>
  <w:style w:type="paragraph" w:styleId="3">
    <w:name w:val="heading 2"/>
    <w:basedOn w:val="1"/>
    <w:next w:val="1"/>
    <w:link w:val="15"/>
    <w:qFormat/>
    <w:uiPriority w:val="9"/>
    <w:pPr>
      <w:keepNext/>
      <w:keepLines/>
      <w:widowControl w:val="0"/>
      <w:spacing w:before="260" w:after="260" w:line="416" w:lineRule="auto"/>
      <w:ind w:firstLine="200" w:firstLineChars="200"/>
      <w:jc w:val="both"/>
      <w:outlineLvl w:val="1"/>
    </w:pPr>
    <w:rPr>
      <w:rFonts w:ascii="等线 Light" w:hAnsi="等线 Light" w:eastAsia="Songti SC" w:cs="宋体"/>
      <w:b/>
      <w:bCs/>
      <w:color w:val="00ACAC"/>
      <w:kern w:val="2"/>
      <w:sz w:val="28"/>
      <w:szCs w:val="32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99"/>
    <w:pPr>
      <w:widowControl w:val="0"/>
      <w:tabs>
        <w:tab w:val="center" w:pos="4153"/>
        <w:tab w:val="right" w:pos="8306"/>
      </w:tabs>
      <w:snapToGrid w:val="0"/>
      <w:spacing w:line="360" w:lineRule="auto"/>
      <w:ind w:firstLine="200" w:firstLineChars="200"/>
    </w:pPr>
    <w:rPr>
      <w:rFonts w:ascii="等线" w:hAnsi="等线" w:eastAsia="等线" w:cs="宋体"/>
      <w:kern w:val="2"/>
      <w:sz w:val="18"/>
      <w:szCs w:val="18"/>
    </w:rPr>
  </w:style>
  <w:style w:type="paragraph" w:styleId="5">
    <w:name w:val="header"/>
    <w:basedOn w:val="1"/>
    <w:link w:val="11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360" w:lineRule="auto"/>
      <w:ind w:firstLine="200" w:firstLineChars="200"/>
      <w:jc w:val="center"/>
    </w:pPr>
    <w:rPr>
      <w:rFonts w:ascii="等线" w:hAnsi="等线" w:eastAsia="等线" w:cs="宋体"/>
      <w:kern w:val="2"/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</w:pPr>
    <w:rPr>
      <w:rFonts w:cs="Times New Roman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qFormat/>
    <w:uiPriority w:val="99"/>
    <w:rPr>
      <w:color w:val="0563C1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占位符文本1"/>
    <w:basedOn w:val="8"/>
    <w:qFormat/>
    <w:uiPriority w:val="99"/>
    <w:rPr>
      <w:color w:val="808080"/>
    </w:rPr>
  </w:style>
  <w:style w:type="character" w:customStyle="1" w:styleId="14">
    <w:name w:val="标题 1 字符"/>
    <w:basedOn w:val="8"/>
    <w:link w:val="2"/>
    <w:qFormat/>
    <w:uiPriority w:val="0"/>
    <w:rPr>
      <w:rFonts w:ascii="Times New Roman" w:hAnsi="Times New Roman" w:eastAsia="宋体" w:cs="Times New Roman"/>
      <w:b/>
      <w:color w:val="000000"/>
      <w:sz w:val="32"/>
      <w:szCs w:val="20"/>
    </w:rPr>
  </w:style>
  <w:style w:type="character" w:customStyle="1" w:styleId="15">
    <w:name w:val="标题 2 字符"/>
    <w:basedOn w:val="8"/>
    <w:link w:val="3"/>
    <w:qFormat/>
    <w:uiPriority w:val="9"/>
    <w:rPr>
      <w:rFonts w:ascii="等线 Light" w:hAnsi="等线 Light" w:eastAsia="Songti SC" w:cs="宋体"/>
      <w:b/>
      <w:bCs/>
      <w:color w:val="00ACAC"/>
      <w:sz w:val="28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未处理的提及1"/>
    <w:basedOn w:val="8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306859-0539-4CEA-AA67-737F9D3099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681</Words>
  <Characters>884</Characters>
  <Paragraphs>58</Paragraphs>
  <TotalTime>2</TotalTime>
  <ScaleCrop>false</ScaleCrop>
  <LinksUpToDate>false</LinksUpToDate>
  <CharactersWithSpaces>951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2024-05-27T06:17:00Z</dcterms:created>
  <dc:creator>宁波新芝生物科技股份有限公司</dc:creator>
  <cp:lastModifiedBy>Administrator</cp:lastModifiedBy>
  <cp:lastPrinted>2019-10-17T06:15:00Z</cp:lastPrinted>
  <dcterms:modified xsi:type="dcterms:W3CDTF">2024-05-28T06:51:58Z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F49F8C7E8E29486EB3A9B26CB5F3C80B</vt:lpwstr>
  </property>
</Properties>
</file>