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6-5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4-3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3-2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分)：投标文件内容基本完整，编制水平一般；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0分)：投标文件内容不完整、不真实，编制差。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重要参数不响应扣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分，每有一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条一般参数不响应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服务体系、规范化管理体系、现场服务及服务机构技术力量、售后服务方案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7-5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分）：有完善的服务体系、管理体系，技术服务团队人员能及时响应并解决故障，售后服务方案、技术方案、培训方案完善具体，针对性强，有明确的违约责任，现场服务技术力量及人员组成优；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4-2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分）：有规范的服务体系、管理体系，售后服务方案、技术方案、培训方案具体可行，有一定的针对性，有明确的违约责任，现场服务技术力量及人员组成良好；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1-0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分）：服务体系、管理体系规范性一般，售后服务方案、技术方案、培训方案基本可行，但缺乏针对性，违约责任不具体，现场服务技术力量及人员组成一般。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按医院下单至安装验收交付期限天数（到货期）时间由短至长排序，交付期限最短得满分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分，按排序依次递减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分，排名相同得分相同。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分，每增加1年得1分，满分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2022年至今参与项目供应商销售响应产品的业绩，提供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分，未提供不得分。（业绩需2022年至今签订的合同、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发票等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复印件加盖公章作为证明材料）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16978EC"/>
    <w:rsid w:val="13396F80"/>
    <w:rsid w:val="15EE7198"/>
    <w:rsid w:val="192F3615"/>
    <w:rsid w:val="197A17E4"/>
    <w:rsid w:val="1A087960"/>
    <w:rsid w:val="33FE5091"/>
    <w:rsid w:val="3DA91811"/>
    <w:rsid w:val="3E6D673C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2024-06-03T02:37:25Z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4C2816F09F6D4D9CA77520D40B83C140</vt:lpwstr>
  </property>
</Properties>
</file>