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12209"/>
      <w:bookmarkStart w:id="3" w:name="_Toc87445175"/>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87445176"/>
      <w:bookmarkStart w:id="6" w:name="_Toc30729"/>
      <w:bookmarkStart w:id="7" w:name="_Toc213141100"/>
      <w:bookmarkStart w:id="8" w:name="_Toc493600035"/>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交货期：合同签订或订单下达之日起30天内完成。</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bookmarkStart w:id="26" w:name="_GoBack"/>
            <w:bookmarkEnd w:id="26"/>
          </w:p>
        </w:tc>
        <w:tc>
          <w:tcPr>
            <w:tcW w:w="2789"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493600038"/>
      <w:bookmarkStart w:id="19" w:name="_Toc5960"/>
      <w:bookmarkStart w:id="20" w:name="_Toc87445179"/>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1"/>
            <w:bookmarkStart w:id="22"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21</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3</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具有依法缴纳税收和社会保障资金的良好记录，提供2023年1月至今任意一个季度或年度依法缴纳企业所得税的凭据或提供2023年1月至今任意3个月依法缴纳增值税的凭据，并提供2023年1月至今任意3个月缴纳社会保障资金的证明(成立未满3个月的提供成立以来的税收和社会保障资金缴纳凭证或相关情况说明；依法免税或不需要缴纳社会保障资金的供应商，应提供相应文件证明其依法免税或不需要缴纳社会保障资金)</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5111087"/>
    <w:rsid w:val="061D614D"/>
    <w:rsid w:val="0D393FC9"/>
    <w:rsid w:val="0D9A1496"/>
    <w:rsid w:val="0F1E4AAF"/>
    <w:rsid w:val="10762BDF"/>
    <w:rsid w:val="12B44329"/>
    <w:rsid w:val="135D0A12"/>
    <w:rsid w:val="144F2FB5"/>
    <w:rsid w:val="1513659E"/>
    <w:rsid w:val="188B28E3"/>
    <w:rsid w:val="1A5861A9"/>
    <w:rsid w:val="1B932335"/>
    <w:rsid w:val="1BDD3C44"/>
    <w:rsid w:val="1C292AE4"/>
    <w:rsid w:val="1E606535"/>
    <w:rsid w:val="203232CB"/>
    <w:rsid w:val="22210E0A"/>
    <w:rsid w:val="244E37D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565737"/>
    <w:rsid w:val="38766AAA"/>
    <w:rsid w:val="38F00C52"/>
    <w:rsid w:val="3B30289A"/>
    <w:rsid w:val="3C2F0E1D"/>
    <w:rsid w:val="3E896745"/>
    <w:rsid w:val="402A0309"/>
    <w:rsid w:val="40D03BCF"/>
    <w:rsid w:val="41106504"/>
    <w:rsid w:val="422034E7"/>
    <w:rsid w:val="426F4017"/>
    <w:rsid w:val="42A77542"/>
    <w:rsid w:val="43365AEB"/>
    <w:rsid w:val="438D13C5"/>
    <w:rsid w:val="44B66409"/>
    <w:rsid w:val="45680BAE"/>
    <w:rsid w:val="49203136"/>
    <w:rsid w:val="49FB2F07"/>
    <w:rsid w:val="4C6E365B"/>
    <w:rsid w:val="4D735834"/>
    <w:rsid w:val="4DF84F0A"/>
    <w:rsid w:val="4E2E66ED"/>
    <w:rsid w:val="4EF14EB0"/>
    <w:rsid w:val="51807280"/>
    <w:rsid w:val="52B814BD"/>
    <w:rsid w:val="53962548"/>
    <w:rsid w:val="53AD61F7"/>
    <w:rsid w:val="54BC5D9C"/>
    <w:rsid w:val="560E24E2"/>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E5770AB"/>
    <w:rsid w:val="6F6F593A"/>
    <w:rsid w:val="71615B93"/>
    <w:rsid w:val="732075C4"/>
    <w:rsid w:val="739A6307"/>
    <w:rsid w:val="73FF59A6"/>
    <w:rsid w:val="74203FD3"/>
    <w:rsid w:val="74A63821"/>
    <w:rsid w:val="75E026BF"/>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2024-06-24T02:38:54Z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139B73AB595841B29D14121D43D33AE0</vt:lpwstr>
  </property>
</Properties>
</file>