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firstLine="643" w:firstLineChars="200"/>
        <w:rPr>
          <w:rFonts w:hint="eastAsia" w:ascii="宋体" w:hAnsi="宋体" w:cs="黑体"/>
          <w:b/>
          <w:bCs/>
          <w:sz w:val="32"/>
          <w:szCs w:val="32"/>
        </w:rPr>
      </w:pPr>
      <w:r>
        <w:rPr>
          <w:rFonts w:hint="eastAsia" w:ascii="宋体" w:hAnsi="宋体" w:cs="黑体"/>
          <w:b/>
          <w:bCs/>
          <w:sz w:val="32"/>
          <w:szCs w:val="32"/>
        </w:rPr>
        <w:t>新增</w:t>
      </w:r>
      <w:r>
        <w:rPr>
          <w:rFonts w:hint="eastAsia" w:ascii="宋体" w:hAnsi="宋体" w:cs="黑体"/>
          <w:b/>
          <w:bCs/>
          <w:sz w:val="32"/>
          <w:szCs w:val="32"/>
          <w:lang w:val="en-US" w:eastAsia="zh-CN"/>
        </w:rPr>
        <w:t>互</w:t>
      </w:r>
      <w:r>
        <w:rPr>
          <w:rFonts w:hint="eastAsia" w:ascii="宋体" w:hAnsi="宋体" w:cs="黑体"/>
          <w:b/>
          <w:bCs/>
          <w:sz w:val="32"/>
          <w:szCs w:val="32"/>
        </w:rPr>
        <w:t>联网出口</w:t>
      </w:r>
      <w:r>
        <w:rPr>
          <w:rFonts w:hint="eastAsia" w:ascii="宋体" w:hAnsi="宋体" w:cs="黑体"/>
          <w:b/>
          <w:bCs/>
          <w:sz w:val="32"/>
          <w:szCs w:val="32"/>
          <w:lang w:val="en-US" w:eastAsia="zh-CN"/>
        </w:rPr>
        <w:t>冗</w:t>
      </w:r>
      <w:r>
        <w:rPr>
          <w:rFonts w:hint="eastAsia" w:ascii="宋体" w:hAnsi="宋体" w:cs="黑体"/>
          <w:b/>
          <w:bCs/>
          <w:sz w:val="32"/>
          <w:szCs w:val="32"/>
        </w:rPr>
        <w:t>余备份专线项目 - 技术要求</w:t>
      </w:r>
    </w:p>
    <w:p>
      <w:pPr>
        <w:snapToGrid w:val="0"/>
        <w:spacing w:line="300" w:lineRule="auto"/>
        <w:rPr>
          <w:rFonts w:hint="default" w:ascii="宋体" w:hAnsi="宋体" w:cs="黑体" w:eastAsiaTheme="minorEastAsia"/>
          <w:b/>
          <w:bCs/>
          <w:sz w:val="32"/>
          <w:szCs w:val="32"/>
          <w:lang w:val="en-US" w:eastAsia="zh-CN"/>
        </w:rPr>
      </w:pPr>
      <w:r>
        <w:rPr>
          <w:rFonts w:hint="eastAsia" w:ascii="宋体" w:hAnsi="宋体" w:cs="黑体"/>
          <w:b/>
          <w:bCs/>
          <w:sz w:val="32"/>
          <w:szCs w:val="32"/>
        </w:rPr>
        <w:t>一、</w:t>
      </w:r>
      <w:r>
        <w:rPr>
          <w:rFonts w:hint="eastAsia" w:ascii="宋体" w:hAnsi="宋体" w:cs="黑体"/>
          <w:b/>
          <w:bCs/>
          <w:sz w:val="32"/>
          <w:szCs w:val="32"/>
          <w:lang w:val="en-US" w:eastAsia="zh-CN"/>
        </w:rPr>
        <w:t>采购内容</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1</w:t>
      </w:r>
      <w:r>
        <w:rPr>
          <w:rFonts w:hint="eastAsia" w:ascii="宋体" w:hAnsi="宋体" w:cs="黑体"/>
          <w:sz w:val="28"/>
          <w:szCs w:val="28"/>
          <w:lang w:eastAsia="zh-CN"/>
        </w:rPr>
        <w:t>.</w:t>
      </w:r>
      <w:r>
        <w:rPr>
          <w:rFonts w:hint="eastAsia" w:ascii="宋体" w:hAnsi="宋体" w:cs="黑体"/>
          <w:sz w:val="28"/>
          <w:szCs w:val="28"/>
          <w:lang w:val="en-US" w:eastAsia="zh-CN"/>
        </w:rPr>
        <w:t>100</w:t>
      </w:r>
      <w:r>
        <w:rPr>
          <w:rFonts w:hint="eastAsia" w:ascii="宋体" w:hAnsi="宋体" w:cs="黑体"/>
          <w:sz w:val="28"/>
          <w:szCs w:val="28"/>
        </w:rPr>
        <w:t>M互联网专线一条。</w:t>
      </w:r>
    </w:p>
    <w:p>
      <w:pPr>
        <w:snapToGrid w:val="0"/>
        <w:spacing w:line="360" w:lineRule="auto"/>
        <w:ind w:firstLine="560" w:firstLineChars="200"/>
        <w:rPr>
          <w:rFonts w:hint="eastAsia" w:ascii="宋体" w:hAnsi="宋体" w:cs="黑体"/>
          <w:sz w:val="28"/>
          <w:szCs w:val="28"/>
          <w:lang w:val="en-US" w:eastAsia="zh-CN"/>
        </w:rPr>
      </w:pPr>
      <w:r>
        <w:rPr>
          <w:rFonts w:hint="eastAsia" w:ascii="宋体" w:hAnsi="宋体" w:cs="黑体"/>
          <w:sz w:val="28"/>
          <w:szCs w:val="28"/>
          <w:lang w:val="en-US" w:eastAsia="zh-CN"/>
        </w:rPr>
        <w:t>2.服务期限：3年。</w:t>
      </w:r>
    </w:p>
    <w:p>
      <w:pPr>
        <w:snapToGrid w:val="0"/>
        <w:spacing w:line="360" w:lineRule="auto"/>
        <w:ind w:firstLine="560" w:firstLineChars="200"/>
        <w:rPr>
          <w:rFonts w:hint="eastAsia" w:ascii="宋体" w:hAnsi="宋体" w:cs="黑体"/>
          <w:sz w:val="28"/>
          <w:szCs w:val="28"/>
          <w:lang w:val="en-US" w:eastAsia="zh-CN"/>
        </w:rPr>
      </w:pPr>
      <w:r>
        <w:rPr>
          <w:rFonts w:hint="eastAsia" w:ascii="宋体" w:hAnsi="宋体" w:cs="黑体"/>
          <w:sz w:val="28"/>
          <w:szCs w:val="28"/>
          <w:lang w:val="en-US" w:eastAsia="zh-CN"/>
        </w:rPr>
        <w:t>3.冗余电路用途，非中国电信线路及网络。</w:t>
      </w:r>
    </w:p>
    <w:p>
      <w:pPr>
        <w:snapToGrid w:val="0"/>
        <w:spacing w:line="360" w:lineRule="auto"/>
        <w:ind w:firstLine="560" w:firstLineChars="200"/>
        <w:rPr>
          <w:rFonts w:hint="default" w:ascii="宋体" w:hAnsi="宋体" w:cs="黑体"/>
          <w:sz w:val="28"/>
          <w:szCs w:val="28"/>
          <w:lang w:val="en-US" w:eastAsia="zh-CN"/>
        </w:rPr>
      </w:pPr>
      <w:r>
        <w:rPr>
          <w:rFonts w:hint="eastAsia" w:ascii="宋体" w:hAnsi="宋体" w:cs="黑体"/>
          <w:sz w:val="28"/>
          <w:szCs w:val="28"/>
          <w:lang w:val="en-US" w:eastAsia="zh-CN"/>
        </w:rPr>
        <w:t>4.3年总价最高限价73224.00元（单价：2034.00元/月）。</w:t>
      </w:r>
    </w:p>
    <w:p>
      <w:pPr>
        <w:snapToGrid w:val="0"/>
        <w:spacing w:line="360" w:lineRule="auto"/>
        <w:rPr>
          <w:rFonts w:hint="default" w:ascii="宋体" w:hAnsi="宋体" w:cs="黑体" w:eastAsiaTheme="minorEastAsia"/>
          <w:b/>
          <w:bCs/>
          <w:sz w:val="32"/>
          <w:szCs w:val="32"/>
          <w:lang w:val="en-US" w:eastAsia="zh-CN"/>
        </w:rPr>
      </w:pPr>
      <w:r>
        <w:rPr>
          <w:rFonts w:hint="eastAsia" w:ascii="宋体" w:hAnsi="宋体" w:cs="黑体"/>
          <w:b/>
          <w:bCs/>
          <w:sz w:val="32"/>
          <w:szCs w:val="32"/>
        </w:rPr>
        <w:t>二、技术</w:t>
      </w:r>
      <w:r>
        <w:rPr>
          <w:rFonts w:hint="eastAsia" w:ascii="宋体" w:hAnsi="宋体" w:cs="黑体"/>
          <w:b/>
          <w:bCs/>
          <w:sz w:val="32"/>
          <w:szCs w:val="32"/>
          <w:lang w:val="en-US" w:eastAsia="zh-CN"/>
        </w:rPr>
        <w:t>和性能要求</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1、投标人必须保证出租的专线及电路质量符合国家相关标准和规定；投标人应负责对该专线及电路予以及时修复、调换。</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2、投标人必须保证与招标人互联的网关路由器至投标人骨干层与其他</w:t>
      </w:r>
      <w:bookmarkStart w:id="0" w:name="_GoBack"/>
      <w:bookmarkEnd w:id="0"/>
      <w:r>
        <w:rPr>
          <w:rFonts w:hint="eastAsia" w:ascii="宋体" w:hAnsi="宋体" w:cs="黑体"/>
          <w:sz w:val="28"/>
          <w:szCs w:val="28"/>
        </w:rPr>
        <w:t>运营商互联出口路由器的时延和丢包率符合正常的标准。</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3、</w:t>
      </w:r>
      <w:r>
        <w:rPr>
          <w:rFonts w:hint="eastAsia" w:cs="宋体"/>
          <w:szCs w:val="21"/>
        </w:rPr>
        <w:t>▲</w:t>
      </w:r>
      <w:r>
        <w:rPr>
          <w:rFonts w:hint="eastAsia" w:ascii="宋体" w:hAnsi="宋体" w:cs="黑体"/>
          <w:sz w:val="28"/>
          <w:szCs w:val="28"/>
        </w:rPr>
        <w:t>专线需接入中国Internet网络，实现快速访问Internet线路要稳定，必须保证</w:t>
      </w:r>
      <w:r>
        <w:rPr>
          <w:rFonts w:hint="eastAsia" w:ascii="宋体" w:hAnsi="宋体" w:cs="黑体"/>
          <w:sz w:val="28"/>
          <w:szCs w:val="28"/>
          <w:lang w:val="en-US" w:eastAsia="zh-CN"/>
        </w:rPr>
        <w:t>100</w:t>
      </w:r>
      <w:r>
        <w:rPr>
          <w:rFonts w:hint="eastAsia" w:ascii="宋体" w:hAnsi="宋体" w:cs="黑体"/>
          <w:sz w:val="28"/>
          <w:szCs w:val="28"/>
        </w:rPr>
        <w:t>M独享带宽。</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4、</w:t>
      </w:r>
      <w:r>
        <w:rPr>
          <w:rFonts w:hint="eastAsia" w:cs="宋体"/>
          <w:szCs w:val="21"/>
        </w:rPr>
        <w:t>▲</w:t>
      </w:r>
      <w:r>
        <w:rPr>
          <w:rFonts w:hint="eastAsia" w:ascii="宋体" w:hAnsi="宋体" w:cs="黑体"/>
          <w:sz w:val="28"/>
          <w:szCs w:val="28"/>
        </w:rPr>
        <w:t>投标人必须提供及时的技术支持，每天24小时、每周7天、全年无休的系统监控及全面性技术支持，100%故障响应率，100%故障恢复率，不低于99%限时故障恢复率（限时时间为2小时）。</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5、</w:t>
      </w:r>
      <w:r>
        <w:rPr>
          <w:rFonts w:hint="eastAsia" w:cs="宋体"/>
          <w:szCs w:val="21"/>
        </w:rPr>
        <w:t>▲</w:t>
      </w:r>
      <w:r>
        <w:rPr>
          <w:rFonts w:hint="eastAsia" w:ascii="宋体" w:hAnsi="宋体" w:cs="黑体"/>
          <w:sz w:val="28"/>
          <w:szCs w:val="28"/>
        </w:rPr>
        <w:t>网络可用性为99.99%。网络可用性是指投标人网内端到端全网能提供无故障时间占运行时间的百分比。</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6、</w:t>
      </w:r>
      <w:r>
        <w:rPr>
          <w:rFonts w:hint="eastAsia" w:cs="宋体"/>
          <w:szCs w:val="21"/>
        </w:rPr>
        <w:t>▲</w:t>
      </w:r>
      <w:r>
        <w:rPr>
          <w:rFonts w:hint="eastAsia" w:ascii="宋体" w:hAnsi="宋体" w:cs="黑体"/>
          <w:sz w:val="28"/>
          <w:szCs w:val="28"/>
        </w:rPr>
        <w:t>投标人需提供的接入点带宽为10M-10G，接口为FE电口、GE光口、10GE光等接口，充分保证接入网络后的安全性。</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7、</w:t>
      </w:r>
      <w:r>
        <w:rPr>
          <w:rFonts w:hint="eastAsia" w:cs="宋体"/>
          <w:szCs w:val="21"/>
        </w:rPr>
        <w:t>▲</w:t>
      </w:r>
      <w:r>
        <w:rPr>
          <w:rFonts w:hint="eastAsia" w:ascii="宋体" w:hAnsi="宋体" w:cs="黑体"/>
          <w:sz w:val="28"/>
          <w:szCs w:val="28"/>
        </w:rPr>
        <w:t>根据互联网专线的带宽需求及业务接入条件，互联网专线常用接入手段主要包括PON、PTN、WDM（OTN）及SPN等。采用ITU-T G.652光纤光缆，光缆24芯数等传输接入方式。</w:t>
      </w:r>
    </w:p>
    <w:p>
      <w:pPr>
        <w:pStyle w:val="2"/>
        <w:rPr>
          <w:rFonts w:hint="eastAsia" w:ascii="宋体" w:hAnsi="宋体" w:cs="黑体"/>
          <w:sz w:val="28"/>
          <w:szCs w:val="28"/>
        </w:rPr>
      </w:pPr>
    </w:p>
    <w:p>
      <w:pPr>
        <w:pStyle w:val="3"/>
        <w:rPr>
          <w:rFonts w:hint="eastAsia"/>
        </w:rPr>
      </w:pPr>
    </w:p>
    <w:p>
      <w:pPr>
        <w:pStyle w:val="7"/>
        <w:jc w:val="center"/>
        <w:rPr>
          <w:rFonts w:hint="eastAsia" w:asciiTheme="minorEastAsia" w:hAnsiTheme="minorEastAsia" w:eastAsiaTheme="minorEastAsia"/>
        </w:rPr>
      </w:pPr>
      <w:r>
        <w:rPr>
          <w:rFonts w:hint="eastAsia" w:asciiTheme="minorEastAsia" w:hAnsiTheme="minorEastAsia" w:eastAsiaTheme="minorEastAsia"/>
        </w:rPr>
        <w:t>性能指标</w:t>
      </w:r>
    </w:p>
    <w:tbl>
      <w:tblPr>
        <w:tblStyle w:val="10"/>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593"/>
        <w:gridCol w:w="3975"/>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9" w:type="pct"/>
            <w:shd w:val="clear" w:color="auto" w:fill="FFFFFF"/>
            <w:vAlign w:val="center"/>
          </w:tcPr>
          <w:p>
            <w:pPr>
              <w:jc w:val="center"/>
              <w:rPr>
                <w:bCs/>
                <w:color w:val="000000"/>
                <w:szCs w:val="21"/>
              </w:rPr>
            </w:pPr>
            <w:r>
              <w:rPr>
                <w:rFonts w:hint="eastAsia"/>
                <w:bCs/>
                <w:color w:val="000000"/>
                <w:szCs w:val="21"/>
              </w:rPr>
              <w:t>专线类别</w:t>
            </w:r>
          </w:p>
        </w:tc>
        <w:tc>
          <w:tcPr>
            <w:tcW w:w="918" w:type="pct"/>
            <w:shd w:val="clear" w:color="auto" w:fill="FFFFFF"/>
            <w:noWrap/>
            <w:vAlign w:val="center"/>
          </w:tcPr>
          <w:p>
            <w:pPr>
              <w:jc w:val="center"/>
              <w:rPr>
                <w:bCs/>
                <w:color w:val="000000"/>
                <w:szCs w:val="21"/>
              </w:rPr>
            </w:pPr>
            <w:r>
              <w:rPr>
                <w:rFonts w:hint="eastAsia"/>
                <w:bCs/>
                <w:color w:val="000000"/>
                <w:szCs w:val="21"/>
              </w:rPr>
              <w:t>质量指标内容</w:t>
            </w:r>
          </w:p>
        </w:tc>
        <w:tc>
          <w:tcPr>
            <w:tcW w:w="2291" w:type="pct"/>
            <w:shd w:val="clear" w:color="auto" w:fill="FFFFFF"/>
            <w:vAlign w:val="center"/>
          </w:tcPr>
          <w:p>
            <w:pPr>
              <w:jc w:val="center"/>
              <w:rPr>
                <w:bCs/>
                <w:color w:val="000000"/>
                <w:szCs w:val="21"/>
              </w:rPr>
            </w:pPr>
            <w:r>
              <w:rPr>
                <w:rFonts w:hint="eastAsia"/>
                <w:bCs/>
                <w:color w:val="000000"/>
                <w:szCs w:val="21"/>
              </w:rPr>
              <w:t>指标定义</w:t>
            </w:r>
          </w:p>
        </w:tc>
        <w:tc>
          <w:tcPr>
            <w:tcW w:w="1170" w:type="pct"/>
            <w:shd w:val="clear" w:color="auto" w:fill="FFFFFF"/>
            <w:vAlign w:val="center"/>
          </w:tcPr>
          <w:p>
            <w:pPr>
              <w:jc w:val="center"/>
              <w:rPr>
                <w:bCs/>
                <w:color w:val="000000"/>
                <w:szCs w:val="21"/>
              </w:rPr>
            </w:pPr>
            <w:r>
              <w:rPr>
                <w:rFonts w:hint="eastAsia"/>
                <w:bCs/>
                <w:color w:val="00000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9" w:type="pct"/>
            <w:vMerge w:val="restart"/>
            <w:shd w:val="clear" w:color="auto" w:fill="FFFFFF"/>
            <w:vAlign w:val="center"/>
          </w:tcPr>
          <w:p>
            <w:pPr>
              <w:spacing w:line="288" w:lineRule="auto"/>
              <w:jc w:val="center"/>
              <w:rPr>
                <w:rFonts w:hint="eastAsia" w:asciiTheme="minorEastAsia" w:hAnsiTheme="minorEastAsia" w:cstheme="minorEastAsia"/>
                <w:bCs/>
                <w:color w:val="000000"/>
                <w:szCs w:val="21"/>
              </w:rPr>
            </w:pPr>
            <w:r>
              <w:rPr>
                <w:rFonts w:hint="eastAsia" w:asciiTheme="minorEastAsia" w:hAnsiTheme="minorEastAsia" w:cstheme="minorEastAsia"/>
                <w:bCs/>
                <w:color w:val="000000"/>
                <w:szCs w:val="21"/>
              </w:rPr>
              <w:t>互联网专线</w:t>
            </w:r>
          </w:p>
        </w:tc>
        <w:tc>
          <w:tcPr>
            <w:tcW w:w="918" w:type="pct"/>
            <w:shd w:val="clear" w:color="auto" w:fill="FFFFFF"/>
            <w:noWrap/>
            <w:vAlign w:val="center"/>
          </w:tcPr>
          <w:p>
            <w:pPr>
              <w:spacing w:line="288" w:lineRule="auto"/>
              <w:jc w:val="center"/>
              <w:rPr>
                <w:rFonts w:hint="eastAsia" w:asciiTheme="minorEastAsia" w:hAnsiTheme="minorEastAsia" w:cstheme="minorEastAsia"/>
                <w:bCs/>
                <w:color w:val="000000"/>
                <w:szCs w:val="21"/>
              </w:rPr>
            </w:pPr>
            <w:r>
              <w:rPr>
                <w:rFonts w:hint="eastAsia" w:asciiTheme="minorEastAsia" w:hAnsiTheme="minorEastAsia" w:cstheme="minorEastAsia"/>
                <w:bCs/>
                <w:color w:val="000000"/>
                <w:szCs w:val="21"/>
              </w:rPr>
              <w:t>集团用户至网内热点网站的Ping网络时延</w:t>
            </w:r>
          </w:p>
        </w:tc>
        <w:tc>
          <w:tcPr>
            <w:tcW w:w="2291" w:type="pct"/>
            <w:shd w:val="clear" w:color="auto" w:fill="FFFFFF"/>
            <w:noWrap/>
            <w:vAlign w:val="center"/>
          </w:tcPr>
          <w:p>
            <w:pPr>
              <w:spacing w:line="288" w:lineRule="auto"/>
              <w:jc w:val="center"/>
              <w:rPr>
                <w:rFonts w:hint="eastAsia" w:asciiTheme="minorEastAsia" w:hAnsiTheme="minorEastAsia" w:cstheme="minorEastAsia"/>
                <w:bCs/>
                <w:color w:val="000000"/>
                <w:szCs w:val="21"/>
              </w:rPr>
            </w:pPr>
            <w:r>
              <w:rPr>
                <w:rFonts w:hint="eastAsia" w:asciiTheme="minorEastAsia" w:hAnsiTheme="minorEastAsia" w:cstheme="minorEastAsia"/>
                <w:bCs/>
                <w:color w:val="000000"/>
                <w:szCs w:val="21"/>
              </w:rPr>
              <w:t>从SRC 向DST发送指定长度的ICMP报文，并记录发送时间;当收到DST回送的测量数据包即记录接收时间，并计算时延值。测量数据包达到预定数量后，即可计算出平均时延。</w:t>
            </w:r>
          </w:p>
        </w:tc>
        <w:tc>
          <w:tcPr>
            <w:tcW w:w="1170" w:type="pct"/>
            <w:shd w:val="clear" w:color="auto" w:fill="FFFFFF"/>
            <w:vAlign w:val="center"/>
          </w:tcPr>
          <w:p>
            <w:pPr>
              <w:spacing w:line="288" w:lineRule="auto"/>
              <w:jc w:val="center"/>
              <w:rPr>
                <w:rFonts w:hint="eastAsia" w:asciiTheme="minorEastAsia" w:hAnsiTheme="minorEastAsia" w:cstheme="minorEastAsia"/>
                <w:bCs/>
                <w:color w:val="000000"/>
                <w:szCs w:val="21"/>
              </w:rPr>
            </w:pPr>
            <w:r>
              <w:rPr>
                <w:rFonts w:hint="eastAsia" w:asciiTheme="minorEastAsia" w:hAnsiTheme="minorEastAsia" w:cstheme="minorEastAsia"/>
                <w:bCs/>
                <w:color w:val="000000"/>
                <w:szCs w:val="21"/>
              </w:rPr>
              <w: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9" w:type="pct"/>
            <w:vMerge w:val="continue"/>
            <w:shd w:val="clear" w:color="auto" w:fill="FFFFFF"/>
            <w:vAlign w:val="center"/>
          </w:tcPr>
          <w:p>
            <w:pPr>
              <w:spacing w:line="288" w:lineRule="auto"/>
              <w:ind w:firstLine="420"/>
              <w:jc w:val="center"/>
              <w:rPr>
                <w:rFonts w:hint="eastAsia" w:asciiTheme="minorEastAsia" w:hAnsiTheme="minorEastAsia" w:cstheme="minorEastAsia"/>
                <w:bCs/>
                <w:color w:val="000000"/>
                <w:szCs w:val="21"/>
                <w:lang w:bidi="hi-IN"/>
              </w:rPr>
            </w:pPr>
          </w:p>
        </w:tc>
        <w:tc>
          <w:tcPr>
            <w:tcW w:w="918" w:type="pct"/>
            <w:shd w:val="clear" w:color="auto" w:fill="FFFFFF"/>
            <w:noWrap/>
            <w:vAlign w:val="center"/>
          </w:tcPr>
          <w:p>
            <w:pPr>
              <w:spacing w:line="288" w:lineRule="auto"/>
              <w:jc w:val="center"/>
              <w:rPr>
                <w:rFonts w:hint="eastAsia" w:asciiTheme="minorEastAsia" w:hAnsiTheme="minorEastAsia" w:cstheme="minorEastAsia"/>
                <w:bCs/>
                <w:color w:val="000000"/>
                <w:szCs w:val="21"/>
              </w:rPr>
            </w:pPr>
            <w:r>
              <w:rPr>
                <w:rFonts w:hint="eastAsia" w:asciiTheme="minorEastAsia" w:hAnsiTheme="minorEastAsia" w:cstheme="minorEastAsia"/>
                <w:bCs/>
                <w:color w:val="000000"/>
                <w:szCs w:val="21"/>
              </w:rPr>
              <w:t>集团用户至网内热点网站的网络丢包率</w:t>
            </w:r>
          </w:p>
        </w:tc>
        <w:tc>
          <w:tcPr>
            <w:tcW w:w="2291" w:type="pct"/>
            <w:shd w:val="clear" w:color="auto" w:fill="FFFFFF"/>
            <w:noWrap/>
            <w:vAlign w:val="center"/>
          </w:tcPr>
          <w:p>
            <w:pPr>
              <w:spacing w:line="288" w:lineRule="auto"/>
              <w:jc w:val="center"/>
              <w:rPr>
                <w:rFonts w:hint="eastAsia" w:asciiTheme="minorEastAsia" w:hAnsiTheme="minorEastAsia" w:cstheme="minorEastAsia"/>
                <w:bCs/>
                <w:color w:val="000000"/>
                <w:szCs w:val="21"/>
              </w:rPr>
            </w:pPr>
            <w:r>
              <w:rPr>
                <w:rFonts w:hint="eastAsia" w:asciiTheme="minorEastAsia" w:hAnsiTheme="minorEastAsia" w:cstheme="minorEastAsia"/>
                <w:bCs/>
                <w:color w:val="000000"/>
                <w:szCs w:val="21"/>
              </w:rPr>
              <w:t>从SRC 向DST（移动网内资源、国际快线至移动网络境外POP点）发送指定长度的ICMP报文，在预定超时时间内未收到DST回送的测量数据包即记录为失败，测量数据包数达到预定数量后，即可计算丢包率。</w:t>
            </w:r>
          </w:p>
        </w:tc>
        <w:tc>
          <w:tcPr>
            <w:tcW w:w="1170" w:type="pct"/>
            <w:shd w:val="clear" w:color="auto" w:fill="FFFFFF"/>
            <w:vAlign w:val="center"/>
          </w:tcPr>
          <w:p>
            <w:pPr>
              <w:spacing w:line="288" w:lineRule="auto"/>
              <w:jc w:val="center"/>
              <w:rPr>
                <w:rFonts w:hint="eastAsia" w:asciiTheme="minorEastAsia" w:hAnsiTheme="minorEastAsia" w:cstheme="minorEastAsia"/>
                <w:bCs/>
                <w:color w:val="000000"/>
                <w:szCs w:val="21"/>
              </w:rPr>
            </w:pPr>
            <w:r>
              <w:rPr>
                <w:rFonts w:hint="eastAsia" w:asciiTheme="minorEastAsia" w:hAnsiTheme="minorEastAsia" w:cstheme="minorEastAsia"/>
                <w:bCs/>
                <w:color w:val="000000"/>
                <w:szCs w:val="21"/>
              </w:rPr>
              <w:t>在正常带宽负荷下（负荷小于70％）≤1%</w:t>
            </w:r>
          </w:p>
        </w:tc>
      </w:tr>
    </w:tbl>
    <w:p>
      <w:pPr>
        <w:pStyle w:val="7"/>
        <w:ind w:firstLine="0"/>
        <w:rPr>
          <w:rFonts w:hint="eastAsia" w:ascii="宋体" w:hAnsi="宋体" w:cs="黑体" w:eastAsiaTheme="minorEastAsia"/>
          <w:szCs w:val="28"/>
        </w:rPr>
      </w:pPr>
    </w:p>
    <w:p>
      <w:pPr>
        <w:snapToGrid w:val="0"/>
        <w:spacing w:line="360" w:lineRule="auto"/>
        <w:rPr>
          <w:rFonts w:hint="default" w:ascii="宋体" w:hAnsi="宋体" w:cs="黑体" w:eastAsiaTheme="minorEastAsia"/>
          <w:b/>
          <w:bCs/>
          <w:sz w:val="28"/>
          <w:szCs w:val="28"/>
          <w:lang w:val="en-US" w:eastAsia="zh-CN"/>
        </w:rPr>
      </w:pPr>
      <w:r>
        <w:rPr>
          <w:rFonts w:hint="eastAsia" w:ascii="宋体" w:hAnsi="宋体" w:cs="黑体"/>
          <w:b/>
          <w:bCs/>
          <w:sz w:val="28"/>
          <w:szCs w:val="28"/>
        </w:rPr>
        <w:t>三、</w:t>
      </w:r>
      <w:r>
        <w:rPr>
          <w:rFonts w:hint="eastAsia" w:ascii="宋体" w:hAnsi="宋体" w:cs="黑体"/>
          <w:b/>
          <w:bCs/>
          <w:sz w:val="28"/>
          <w:szCs w:val="28"/>
          <w:lang w:val="en-US" w:eastAsia="zh-CN"/>
        </w:rPr>
        <w:t>技术方案</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lang w:val="en-US" w:eastAsia="zh-CN"/>
        </w:rPr>
        <w:t>投标人应提供技术方案，确保满足如下要求</w:t>
      </w:r>
      <w:r>
        <w:rPr>
          <w:rFonts w:hint="eastAsia" w:ascii="宋体" w:hAnsi="宋体" w:cs="黑体"/>
          <w:sz w:val="28"/>
          <w:szCs w:val="28"/>
        </w:rPr>
        <w:t>：</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1、稳定性</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伴随着信息化建设的迅速发展,本次工程要求建成满足招标人运营商电路租用要求的承载网络，网络建设最关键的一点就是安全稳定，这是其信息化建设中最重要的考虑因素，如何保证网络7×24小时稳定运行成为专网建设的重点。</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2、安全性</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本项目要求做好网络安全，防止通信网络阻塞、中断、瘫痪或者被非法控制，以及为防止通信网络中传输、存储、处理的数据信息丢失、泄露或者被篡改。</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安全目标有：保护由网点产生的或与网点相关的信息能得到充分的保护，防止被误用或盗用；保证由网络服务和归属环境提供的资源和业务能得到充分保护，防止被误用或盗用；保护标准化的安全特征至少应有一个可以在世界范围的基础上输出的加密算法；保证安全特征被充分的标准化，以确保网内互操作与不同的服务网络之间的漫游；保证提供给网点和业务供应者的保护级别比当代固定或移动网络提供的高。</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3、可管理性</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投标人负责建设专网的运行、维护管理，成立项目所属运行维护管理机构，负责网络的运行、维护及管理。</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4、可维护性</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在网络建设中采取环网保护，利用统一的网管平台对本次项目专线承载网络进行7x24小时的不间断监控，保障专网的安全运行。</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5、经济性</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本项目网络建设遵循国家标准，在保证电路接入的同时，兼顾扩展性能，安全性能，保障了投资受益的最大化。在满足对功能、质量、性能、价格和服务等各方面要求的前提下，追求最优化的系统设备配置，以尽量降低系统造价。</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6、技术先进性</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考虑到通信网络承载技术的发展趋势，投标人的传输承载专网使用对IP分组业务支持能力最好的、目前最先进、传输能力最强的OTN、PTN网络，可以充分保证网络高带宽、高速率、高安全，为网络的运行提供有力保障。同时可以在未来的很长时间内，保持在行业内的技术领先，满足对于技术安全的保障。</w:t>
      </w:r>
    </w:p>
    <w:p>
      <w:pPr>
        <w:snapToGrid w:val="0"/>
        <w:spacing w:line="360" w:lineRule="auto"/>
        <w:rPr>
          <w:rFonts w:hint="eastAsia" w:ascii="宋体" w:hAnsi="宋体" w:cs="黑体"/>
          <w:b/>
          <w:bCs/>
          <w:sz w:val="28"/>
          <w:szCs w:val="28"/>
        </w:rPr>
      </w:pPr>
    </w:p>
    <w:p>
      <w:pPr>
        <w:snapToGrid w:val="0"/>
        <w:spacing w:line="360" w:lineRule="auto"/>
        <w:rPr>
          <w:rFonts w:hint="default" w:ascii="宋体" w:hAnsi="宋体" w:cs="黑体" w:eastAsiaTheme="minorEastAsia"/>
          <w:b/>
          <w:bCs/>
          <w:sz w:val="28"/>
          <w:szCs w:val="28"/>
          <w:lang w:val="en-US" w:eastAsia="zh-CN"/>
        </w:rPr>
      </w:pPr>
      <w:r>
        <w:rPr>
          <w:rFonts w:hint="eastAsia" w:ascii="宋体" w:hAnsi="宋体" w:cs="黑体"/>
          <w:b/>
          <w:bCs/>
          <w:sz w:val="28"/>
          <w:szCs w:val="28"/>
        </w:rPr>
        <w:t>四.</w:t>
      </w:r>
      <w:r>
        <w:rPr>
          <w:rFonts w:hint="eastAsia" w:ascii="宋体" w:hAnsi="宋体" w:cs="黑体"/>
          <w:b/>
          <w:bCs/>
          <w:sz w:val="28"/>
          <w:szCs w:val="28"/>
          <w:lang w:val="en-US" w:eastAsia="zh-CN"/>
        </w:rPr>
        <w:t>服务要求</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1、投标人负责光缆工程投资，提供专线建设所需的板卡、边缘节点路由器、光端机、光缆等设备及配套电缆的购买、安装、调测、维修和更换工作。</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2、投标人提供优质电路，负责向招标人提供有关技术支持，满足招标人的网络出口需求。</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3、投标人在服务期内为招标人提供365×24小时不间断的售后“三优”保障服务，即：优惠、优先、优质的服务，并依据有关规程和规范进行维护。</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4、投标人须确定专人负责与招标人进行沟通协调工作，采取一站式受理，统一处理招标人的服务要求，包括线路的开通、变更、终止、故障申报、缴费等业务流程，建立完善的通信障碍处理、报告制度。电路出现通信故障应立即报于招标人，并积极配合招标人要求及时排除故障，做好详细的故障处理报告。</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5、投标人保证在专线发生故障的情况下，必须在4小时内排除故障，特殊情况需及时书面或电话说明。对可预知的网络中断，如施工等原因影响通信线路正常使用的，保证提前24小时书面或电话通知招标人，并在4个小时之内恢复正常。</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6、投标人须在线路开通之日前将调测好的线路交给招标人，同时提供线路测试报告。</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7、在线路租用期限内，投标人应为招标人免费提供现场维修及维护服务。</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8、投标人必须为招标人提供7×24小时应急通信保障，首次故障响应时间不超过30分钟，线路故障处理时间不得超过4小时。</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9、投标人须承诺在核心节点及各边缘节点出现机房搬迁等情况需要进行线路迁移时，免费提供一次线路迁移服务。</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1</w:t>
      </w:r>
      <w:r>
        <w:rPr>
          <w:rFonts w:ascii="宋体" w:hAnsi="宋体" w:cs="黑体"/>
          <w:sz w:val="28"/>
          <w:szCs w:val="28"/>
        </w:rPr>
        <w:t>0</w:t>
      </w:r>
      <w:r>
        <w:rPr>
          <w:rFonts w:hint="eastAsia" w:ascii="宋体" w:hAnsi="宋体" w:cs="黑体"/>
          <w:sz w:val="28"/>
          <w:szCs w:val="28"/>
        </w:rPr>
        <w:t>、投标人须对上述服务性需求制定详细的服务方案。</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1</w:t>
      </w:r>
      <w:r>
        <w:rPr>
          <w:rFonts w:ascii="宋体" w:hAnsi="宋体" w:cs="黑体"/>
          <w:sz w:val="28"/>
          <w:szCs w:val="28"/>
        </w:rPr>
        <w:t>1</w:t>
      </w:r>
      <w:r>
        <w:rPr>
          <w:rFonts w:hint="eastAsia" w:ascii="宋体" w:hAnsi="宋体" w:cs="黑体"/>
          <w:sz w:val="28"/>
          <w:szCs w:val="28"/>
        </w:rPr>
        <w:t>、安全需求</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（1）投标人的网络须安全可靠，须满足《中华人民共和国网络安全法》、《互联网安全保护技术措施规定》等国家法律法规的相关条款。</w:t>
      </w:r>
    </w:p>
    <w:p>
      <w:pPr>
        <w:snapToGrid w:val="0"/>
        <w:spacing w:line="360" w:lineRule="auto"/>
        <w:ind w:firstLine="560" w:firstLineChars="200"/>
        <w:rPr>
          <w:rFonts w:hint="eastAsia" w:ascii="宋体" w:hAnsi="宋体" w:cs="黑体"/>
          <w:sz w:val="28"/>
          <w:szCs w:val="28"/>
        </w:rPr>
      </w:pPr>
      <w:r>
        <w:rPr>
          <w:rFonts w:hint="eastAsia" w:ascii="宋体" w:hAnsi="宋体" w:cs="黑体"/>
          <w:sz w:val="28"/>
          <w:szCs w:val="28"/>
        </w:rPr>
        <w:t>（</w:t>
      </w:r>
      <w:r>
        <w:rPr>
          <w:rFonts w:ascii="宋体" w:hAnsi="宋体" w:cs="黑体"/>
          <w:sz w:val="28"/>
          <w:szCs w:val="28"/>
        </w:rPr>
        <w:t>2</w:t>
      </w:r>
      <w:r>
        <w:rPr>
          <w:rFonts w:hint="eastAsia" w:ascii="宋体" w:hAnsi="宋体" w:cs="黑体"/>
          <w:sz w:val="28"/>
          <w:szCs w:val="28"/>
        </w:rPr>
        <w:t>）投标人须在投标时提供针对所投标网络制定的网络安全措施方案。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YzA1YzFkOTRjNTY2NzhhNjZjYTllYTFkYWQ3ZWYifQ=="/>
  </w:docVars>
  <w:rsids>
    <w:rsidRoot w:val="000475D0"/>
    <w:rsid w:val="000475D0"/>
    <w:rsid w:val="00077226"/>
    <w:rsid w:val="000F4EF2"/>
    <w:rsid w:val="001148F7"/>
    <w:rsid w:val="001404EB"/>
    <w:rsid w:val="00152E13"/>
    <w:rsid w:val="00152E5A"/>
    <w:rsid w:val="001576EA"/>
    <w:rsid w:val="001765A4"/>
    <w:rsid w:val="0018499C"/>
    <w:rsid w:val="001F7DF4"/>
    <w:rsid w:val="0022292A"/>
    <w:rsid w:val="00266E54"/>
    <w:rsid w:val="00267FE9"/>
    <w:rsid w:val="002B7263"/>
    <w:rsid w:val="002C4342"/>
    <w:rsid w:val="002F7D01"/>
    <w:rsid w:val="0031058F"/>
    <w:rsid w:val="00324276"/>
    <w:rsid w:val="003306CE"/>
    <w:rsid w:val="00343B95"/>
    <w:rsid w:val="00364942"/>
    <w:rsid w:val="00483B84"/>
    <w:rsid w:val="004B4398"/>
    <w:rsid w:val="00501B54"/>
    <w:rsid w:val="005669E9"/>
    <w:rsid w:val="00581070"/>
    <w:rsid w:val="005D6FD5"/>
    <w:rsid w:val="005F3520"/>
    <w:rsid w:val="005F64CD"/>
    <w:rsid w:val="006E0B71"/>
    <w:rsid w:val="00751E8E"/>
    <w:rsid w:val="00796474"/>
    <w:rsid w:val="00837341"/>
    <w:rsid w:val="008F27E7"/>
    <w:rsid w:val="009034F5"/>
    <w:rsid w:val="009161F4"/>
    <w:rsid w:val="009264BE"/>
    <w:rsid w:val="00971694"/>
    <w:rsid w:val="009B48A0"/>
    <w:rsid w:val="009D0863"/>
    <w:rsid w:val="009D7700"/>
    <w:rsid w:val="00A05BA5"/>
    <w:rsid w:val="00A05F60"/>
    <w:rsid w:val="00A16D5B"/>
    <w:rsid w:val="00A528D8"/>
    <w:rsid w:val="00B64BE8"/>
    <w:rsid w:val="00B750BE"/>
    <w:rsid w:val="00C84089"/>
    <w:rsid w:val="00D32847"/>
    <w:rsid w:val="00D707EE"/>
    <w:rsid w:val="00E06260"/>
    <w:rsid w:val="00E40B13"/>
    <w:rsid w:val="00E52944"/>
    <w:rsid w:val="00E7035F"/>
    <w:rsid w:val="00ED738B"/>
    <w:rsid w:val="00F62902"/>
    <w:rsid w:val="00F71033"/>
    <w:rsid w:val="00FB5A00"/>
    <w:rsid w:val="00FE6CE0"/>
    <w:rsid w:val="25622C37"/>
    <w:rsid w:val="27B34267"/>
    <w:rsid w:val="2BAC0B1F"/>
    <w:rsid w:val="2CBF07D8"/>
    <w:rsid w:val="44A925E0"/>
    <w:rsid w:val="5A232E6E"/>
    <w:rsid w:val="7BE5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before="120" w:after="120"/>
      <w:outlineLvl w:val="2"/>
    </w:pPr>
    <w:rPr>
      <w:b/>
      <w:sz w:val="24"/>
    </w:rPr>
  </w:style>
  <w:style w:type="paragraph" w:styleId="5">
    <w:name w:val="heading 4"/>
    <w:basedOn w:val="1"/>
    <w:next w:val="1"/>
    <w:unhideWhenUsed/>
    <w:qFormat/>
    <w:uiPriority w:val="0"/>
    <w:pPr>
      <w:keepNext/>
      <w:keepLines/>
      <w:outlineLvl w:val="3"/>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0"/>
    <w:pPr>
      <w:spacing w:after="120"/>
    </w:pPr>
    <w:rPr>
      <w:szCs w:val="24"/>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annotation text"/>
    <w:basedOn w:val="1"/>
    <w:unhideWhenUsed/>
    <w:qFormat/>
    <w:uiPriority w:val="0"/>
    <w:pPr>
      <w:ind w:firstLine="200"/>
    </w:pPr>
    <w:rPr>
      <w:rFonts w:ascii="Calibri" w:hAnsi="Calibri" w:cs="Times New Roman"/>
      <w:szCs w:val="20"/>
    </w:rPr>
  </w:style>
  <w:style w:type="paragraph" w:styleId="7">
    <w:name w:val="Body Text Indent"/>
    <w:basedOn w:val="1"/>
    <w:qFormat/>
    <w:uiPriority w:val="0"/>
    <w:pPr>
      <w:ind w:firstLine="549"/>
    </w:pPr>
    <w:rPr>
      <w:rFonts w:ascii="仿宋_GB2312" w:hAnsi="Arial" w:eastAsia="仿宋_GB2312"/>
      <w:bCs/>
      <w:sz w:val="2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style>
  <w:style w:type="character" w:customStyle="1" w:styleId="14">
    <w:name w:val="页眉 字符"/>
    <w:basedOn w:val="11"/>
    <w:link w:val="9"/>
    <w:qFormat/>
    <w:uiPriority w:val="99"/>
    <w:rPr>
      <w:kern w:val="2"/>
      <w:sz w:val="18"/>
      <w:szCs w:val="18"/>
    </w:rPr>
  </w:style>
  <w:style w:type="character" w:customStyle="1" w:styleId="15">
    <w:name w:val="页脚 字符"/>
    <w:basedOn w:val="11"/>
    <w:link w:val="8"/>
    <w:qFormat/>
    <w:uiPriority w:val="99"/>
    <w:rPr>
      <w:kern w:val="2"/>
      <w:sz w:val="18"/>
      <w:szCs w:val="18"/>
    </w:rPr>
  </w:style>
  <w:style w:type="character" w:customStyle="1" w:styleId="16">
    <w:name w:val="正文文本 字符"/>
    <w:basedOn w:val="11"/>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2194</Words>
  <Characters>2320</Characters>
  <Lines>20</Lines>
  <Paragraphs>5</Paragraphs>
  <TotalTime>15</TotalTime>
  <ScaleCrop>false</ScaleCrop>
  <LinksUpToDate>false</LinksUpToDate>
  <CharactersWithSpaces>2325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2024-09-25T03:25:00Z</dcterms:created>
  <dc:creator>wangyang1@yn.cmcc</dc:creator>
  <cp:lastModifiedBy>陈昊昱</cp:lastModifiedBy>
  <dcterms:modified xsi:type="dcterms:W3CDTF">2024-09-25T10:04:55Z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9BE540F7CCBC4AD9A788CC9F0FB4BECF</vt:lpwstr>
  </property>
</Properties>
</file>