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昆明医科大学第二附属医院智慧服务示范项目（二标段：工程审计服务）院内招标</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评分说明</w:t>
      </w:r>
    </w:p>
    <w:p>
      <w:pPr>
        <w:keepNext w:val="0"/>
        <w:keepLines w:val="0"/>
        <w:pageBreakBefore w:val="0"/>
        <w:widowControl w:val="0"/>
        <w:kinsoku/>
        <w:wordWrap/>
        <w:overflowPunct/>
        <w:topLinePunct w:val="0"/>
        <w:autoSpaceDE/>
        <w:autoSpaceDN/>
        <w:bidi w:val="0"/>
        <w:adjustRightInd/>
        <w:snapToGrid/>
        <w:spacing w:before="157" w:beforeLines="50" w:line="240" w:lineRule="auto"/>
        <w:textAlignment w:val="auto"/>
        <w:rPr>
          <w:rFonts w:hint="eastAsia"/>
          <w:sz w:val="28"/>
          <w:szCs w:val="28"/>
          <w:lang w:val="en-US" w:eastAsia="zh-CN"/>
        </w:rPr>
      </w:pPr>
      <w:r>
        <w:rPr>
          <w:rFonts w:hint="eastAsia"/>
          <w:sz w:val="28"/>
          <w:szCs w:val="28"/>
          <w:lang w:val="en-US" w:eastAsia="zh-CN"/>
        </w:rPr>
        <w:t>一、技术及商务部分（满分80分）</w:t>
      </w:r>
    </w:p>
    <w:p/>
    <w:tbl>
      <w:tblPr>
        <w:tblStyle w:val="3"/>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419"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cs="宋体"/>
                <w:b/>
                <w:bCs/>
                <w:color w:val="auto"/>
                <w:sz w:val="21"/>
                <w:szCs w:val="21"/>
              </w:rPr>
            </w:pPr>
            <w:r>
              <w:rPr>
                <w:rFonts w:hint="eastAsia"/>
                <w:b/>
                <w:bCs/>
                <w:sz w:val="24"/>
                <w:szCs w:val="24"/>
                <w:vertAlign w:val="baseline"/>
                <w:lang w:eastAsia="zh-CN"/>
              </w:rPr>
              <w:t>评分内容</w:t>
            </w:r>
          </w:p>
        </w:tc>
        <w:tc>
          <w:tcPr>
            <w:tcW w:w="7400" w:type="dxa"/>
            <w:vAlign w:val="top"/>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ascii="宋体" w:hAnsi="宋体"/>
                <w:b/>
                <w:bCs/>
                <w:sz w:val="21"/>
                <w:szCs w:val="21"/>
              </w:rPr>
            </w:pPr>
            <w:r>
              <w:rPr>
                <w:rFonts w:hint="eastAsia"/>
                <w:b/>
                <w:bCs/>
                <w:sz w:val="24"/>
                <w:szCs w:val="24"/>
                <w:vertAlign w:val="baseli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141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ascii="宋体" w:hAnsi="宋体"/>
                <w:sz w:val="21"/>
                <w:szCs w:val="21"/>
              </w:rPr>
            </w:pPr>
            <w:r>
              <w:rPr>
                <w:rFonts w:hint="eastAsia" w:ascii="宋体" w:hAnsi="宋体"/>
                <w:sz w:val="21"/>
                <w:szCs w:val="21"/>
                <w:lang w:eastAsia="zh-CN"/>
              </w:rPr>
              <w:t>审计</w:t>
            </w:r>
            <w:r>
              <w:rPr>
                <w:rFonts w:hint="eastAsia" w:ascii="宋体" w:hAnsi="宋体"/>
                <w:sz w:val="21"/>
                <w:szCs w:val="21"/>
              </w:rPr>
              <w:t>服务方案（满分</w:t>
            </w:r>
            <w:r>
              <w:rPr>
                <w:rFonts w:hint="eastAsia" w:ascii="宋体" w:hAnsi="宋体"/>
                <w:sz w:val="21"/>
                <w:szCs w:val="21"/>
                <w:lang w:val="en-US" w:eastAsia="zh-CN"/>
              </w:rPr>
              <w:t>25</w:t>
            </w:r>
            <w:r>
              <w:rPr>
                <w:rFonts w:hint="eastAsia" w:ascii="宋体" w:hAnsi="宋体"/>
                <w:sz w:val="21"/>
                <w:szCs w:val="21"/>
              </w:rPr>
              <w:t>分）</w:t>
            </w:r>
          </w:p>
        </w:tc>
        <w:tc>
          <w:tcPr>
            <w:tcW w:w="74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sz w:val="21"/>
                <w:szCs w:val="21"/>
              </w:rPr>
            </w:pPr>
            <w:r>
              <w:rPr>
                <w:rFonts w:hint="eastAsia" w:ascii="宋体" w:hAnsi="宋体"/>
                <w:sz w:val="21"/>
                <w:szCs w:val="21"/>
              </w:rPr>
              <w:t>（1）</w:t>
            </w:r>
            <w:r>
              <w:rPr>
                <w:rFonts w:hint="eastAsia" w:ascii="宋体" w:hAnsi="宋体"/>
                <w:sz w:val="21"/>
                <w:szCs w:val="21"/>
                <w:lang w:eastAsia="zh-CN"/>
              </w:rPr>
              <w:t>审计</w:t>
            </w:r>
            <w:r>
              <w:rPr>
                <w:rFonts w:hint="eastAsia" w:ascii="宋体" w:hAnsi="宋体"/>
                <w:sz w:val="21"/>
                <w:szCs w:val="21"/>
              </w:rPr>
              <w:t>服务方案思路清晰、目标明确、依据充分，组织计划及保障措施等方面阐述合理和完整的得1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25</w:t>
            </w:r>
            <w:r>
              <w:rPr>
                <w:rFonts w:hint="eastAsia" w:ascii="宋体" w:hAnsi="宋体"/>
                <w:sz w:val="21"/>
                <w:szCs w:val="21"/>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sz w:val="21"/>
                <w:szCs w:val="21"/>
              </w:rPr>
            </w:pPr>
            <w:r>
              <w:rPr>
                <w:rFonts w:hint="eastAsia" w:ascii="宋体" w:hAnsi="宋体"/>
                <w:sz w:val="21"/>
                <w:szCs w:val="21"/>
              </w:rPr>
              <w:t>（2）</w:t>
            </w:r>
            <w:r>
              <w:rPr>
                <w:rFonts w:hint="eastAsia" w:ascii="宋体" w:hAnsi="宋体"/>
                <w:sz w:val="21"/>
                <w:szCs w:val="21"/>
                <w:lang w:eastAsia="zh-CN"/>
              </w:rPr>
              <w:t>审计</w:t>
            </w:r>
            <w:r>
              <w:rPr>
                <w:rFonts w:hint="eastAsia" w:ascii="宋体" w:hAnsi="宋体"/>
                <w:sz w:val="21"/>
                <w:szCs w:val="21"/>
              </w:rPr>
              <w:t>服务方案思路、目标和依据一般，组织计划及保障措施等方面阐述基本合理和完整，但针对性不强的得</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16</w:t>
            </w:r>
            <w:r>
              <w:rPr>
                <w:rFonts w:hint="eastAsia" w:ascii="宋体" w:hAnsi="宋体"/>
                <w:sz w:val="21"/>
                <w:szCs w:val="21"/>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sz w:val="21"/>
                <w:szCs w:val="21"/>
              </w:rPr>
            </w:pPr>
            <w:r>
              <w:rPr>
                <w:rFonts w:hint="eastAsia" w:ascii="宋体" w:hAnsi="宋体"/>
                <w:sz w:val="21"/>
                <w:szCs w:val="21"/>
              </w:rPr>
              <w:t>（3）</w:t>
            </w:r>
            <w:r>
              <w:rPr>
                <w:rFonts w:hint="eastAsia" w:ascii="宋体" w:hAnsi="宋体"/>
                <w:sz w:val="21"/>
                <w:szCs w:val="21"/>
                <w:lang w:eastAsia="zh-CN"/>
              </w:rPr>
              <w:t>审计</w:t>
            </w:r>
            <w:r>
              <w:rPr>
                <w:rFonts w:hint="eastAsia" w:ascii="宋体" w:hAnsi="宋体"/>
                <w:sz w:val="21"/>
                <w:szCs w:val="21"/>
              </w:rPr>
              <w:t>服务方案思路不清晰或目标不明确或依据不充分，组织计划及保障措施等方面阐述一般，无针对性的得1-</w:t>
            </w:r>
            <w:r>
              <w:rPr>
                <w:rFonts w:hint="eastAsia" w:ascii="宋体" w:hAnsi="宋体"/>
                <w:sz w:val="21"/>
                <w:szCs w:val="21"/>
                <w:lang w:val="en-US" w:eastAsia="zh-CN"/>
              </w:rPr>
              <w:t>8</w:t>
            </w:r>
            <w:r>
              <w:rPr>
                <w:rFonts w:hint="eastAsia" w:ascii="宋体" w:hAnsi="宋体"/>
                <w:sz w:val="21"/>
                <w:szCs w:val="21"/>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sz w:val="21"/>
                <w:szCs w:val="21"/>
              </w:rPr>
            </w:pPr>
            <w:r>
              <w:rPr>
                <w:rFonts w:hint="eastAsia" w:ascii="宋体" w:hAnsi="宋体"/>
                <w:sz w:val="21"/>
                <w:szCs w:val="21"/>
              </w:rPr>
              <w:t>（4）未提供</w:t>
            </w:r>
            <w:r>
              <w:rPr>
                <w:rFonts w:hint="eastAsia" w:ascii="宋体" w:hAnsi="宋体"/>
                <w:sz w:val="21"/>
                <w:szCs w:val="21"/>
                <w:lang w:eastAsia="zh-CN"/>
              </w:rPr>
              <w:t>审计</w:t>
            </w:r>
            <w:r>
              <w:rPr>
                <w:rFonts w:hint="eastAsia" w:ascii="宋体" w:hAnsi="宋体"/>
                <w:sz w:val="21"/>
                <w:szCs w:val="21"/>
              </w:rPr>
              <w:t>服务方案的不得分。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3" w:hRule="atLeast"/>
          <w:jc w:val="center"/>
        </w:trPr>
        <w:tc>
          <w:tcPr>
            <w:tcW w:w="1419" w:type="dxa"/>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sz w:val="21"/>
                <w:szCs w:val="21"/>
              </w:rPr>
            </w:pPr>
            <w:r>
              <w:rPr>
                <w:rFonts w:hint="eastAsia" w:ascii="宋体" w:hAnsi="宋体"/>
                <w:sz w:val="21"/>
                <w:szCs w:val="21"/>
                <w:lang w:eastAsia="zh-CN"/>
              </w:rPr>
              <w:t>审计</w:t>
            </w:r>
            <w:r>
              <w:rPr>
                <w:rFonts w:hint="eastAsia" w:ascii="宋体" w:hAnsi="宋体"/>
                <w:sz w:val="21"/>
                <w:szCs w:val="21"/>
              </w:rPr>
              <w:t>工作重点难点分析（满分10分）</w:t>
            </w:r>
          </w:p>
        </w:tc>
        <w:tc>
          <w:tcPr>
            <w:tcW w:w="74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（1）对本项目重点难度分析准确，采取的措施完全满足项目需求、措施切实可行，得7-10分；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（2）对本项目重点难度分析准确，采取的措施基本合理、措施基本可行，得4-6分；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（3）对本项目重点难度分析基本准确，采取的措施不合理、措施不可行，得0-3分。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1419" w:type="dxa"/>
            <w:vAlign w:val="center"/>
          </w:tcPr>
          <w:p>
            <w:pPr>
              <w:pStyle w:val="2"/>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color w:val="auto"/>
                <w:sz w:val="21"/>
                <w:szCs w:val="21"/>
              </w:rPr>
            </w:pPr>
            <w:r>
              <w:rPr>
                <w:rFonts w:hint="eastAsia" w:cs="宋体"/>
                <w:color w:val="auto"/>
                <w:sz w:val="21"/>
                <w:szCs w:val="21"/>
              </w:rPr>
              <w:t>服务承诺及</w:t>
            </w:r>
            <w:r>
              <w:rPr>
                <w:rFonts w:hint="eastAsia" w:cs="宋体"/>
                <w:color w:val="auto"/>
                <w:sz w:val="21"/>
                <w:szCs w:val="21"/>
                <w:lang w:val="en-US" w:eastAsia="zh-CN"/>
              </w:rPr>
              <w:t>质量控制</w:t>
            </w:r>
            <w:r>
              <w:rPr>
                <w:rFonts w:hint="eastAsia" w:cs="宋体"/>
                <w:color w:val="auto"/>
                <w:sz w:val="21"/>
                <w:szCs w:val="21"/>
              </w:rPr>
              <w:t>措施（满分10分）</w:t>
            </w:r>
          </w:p>
        </w:tc>
        <w:tc>
          <w:tcPr>
            <w:tcW w:w="74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（1）服务体系健全，工作程序清晰，安排科学，</w:t>
            </w:r>
            <w:r>
              <w:rPr>
                <w:rFonts w:hint="eastAsia" w:cs="宋体"/>
                <w:color w:val="auto"/>
                <w:sz w:val="21"/>
                <w:szCs w:val="21"/>
                <w:lang w:val="en-US" w:eastAsia="zh-CN"/>
              </w:rPr>
              <w:t>质量控制</w:t>
            </w:r>
            <w:r>
              <w:rPr>
                <w:rFonts w:hint="eastAsia" w:ascii="宋体" w:hAnsi="宋体"/>
                <w:sz w:val="21"/>
                <w:szCs w:val="21"/>
              </w:rPr>
              <w:t>措施有力，有具体的违约责任承诺得7-10分；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（2）服务保证体健全，工作程序、安排基本合理，</w:t>
            </w:r>
            <w:r>
              <w:rPr>
                <w:rFonts w:hint="eastAsia" w:cs="宋体"/>
                <w:color w:val="auto"/>
                <w:sz w:val="21"/>
                <w:szCs w:val="21"/>
                <w:lang w:val="en-US" w:eastAsia="zh-CN"/>
              </w:rPr>
              <w:t>质量控制</w:t>
            </w:r>
            <w:r>
              <w:rPr>
                <w:rFonts w:hint="eastAsia" w:ascii="宋体" w:hAnsi="宋体"/>
                <w:sz w:val="21"/>
                <w:szCs w:val="21"/>
              </w:rPr>
              <w:t>措施基本合理，无违约责任承诺的得4-6分；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sz w:val="21"/>
                <w:szCs w:val="21"/>
              </w:rPr>
            </w:pPr>
            <w:r>
              <w:rPr>
                <w:rFonts w:hint="eastAsia" w:ascii="宋体" w:hAnsi="宋体"/>
                <w:sz w:val="21"/>
                <w:szCs w:val="21"/>
              </w:rPr>
              <w:t>（3）服务保证体系较差，工作程序不清晰，安排不合理的得分0-3分。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jc w:val="center"/>
        </w:trPr>
        <w:tc>
          <w:tcPr>
            <w:tcW w:w="1419" w:type="dxa"/>
            <w:vAlign w:val="center"/>
          </w:tcPr>
          <w:p>
            <w:pPr>
              <w:pStyle w:val="2"/>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cs="宋体"/>
                <w:color w:val="auto"/>
                <w:sz w:val="21"/>
                <w:szCs w:val="21"/>
              </w:rPr>
            </w:pPr>
            <w:r>
              <w:rPr>
                <w:rFonts w:hint="eastAsia" w:cs="宋体"/>
                <w:color w:val="auto"/>
                <w:sz w:val="21"/>
                <w:szCs w:val="21"/>
              </w:rPr>
              <w:t>服务周期承诺和保证措施（满分5分）</w:t>
            </w:r>
          </w:p>
        </w:tc>
        <w:tc>
          <w:tcPr>
            <w:tcW w:w="74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（1）服务周期能满足项目要求，对遇到问题的响应及解决时限的承诺，有具体的期限违约责任承诺的得4-5分；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（2）服务周期能满足项目要求，对遇到问题的响应及解决时限的承诺，无违约责任承诺的得2-3分；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（3）服务周期基本能满足项目要求，无对遇到问题的响应及解决时限的承诺的得0-1分。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8" w:hRule="atLeast"/>
          <w:jc w:val="center"/>
        </w:trPr>
        <w:tc>
          <w:tcPr>
            <w:tcW w:w="1419" w:type="dxa"/>
            <w:vAlign w:val="center"/>
          </w:tcPr>
          <w:p>
            <w:pPr>
              <w:pStyle w:val="2"/>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color w:val="auto"/>
                <w:sz w:val="21"/>
                <w:szCs w:val="21"/>
              </w:rPr>
            </w:pPr>
            <w:r>
              <w:rPr>
                <w:rFonts w:hint="eastAsia" w:cs="宋体"/>
                <w:color w:val="auto"/>
                <w:sz w:val="21"/>
                <w:szCs w:val="21"/>
              </w:rPr>
              <w:t>项目组专业人员配备情况（满分</w:t>
            </w:r>
            <w:r>
              <w:rPr>
                <w:rFonts w:hint="eastAsia" w:cs="宋体"/>
                <w:color w:val="auto"/>
                <w:sz w:val="21"/>
                <w:szCs w:val="21"/>
                <w:lang w:val="en-US" w:eastAsia="zh-CN"/>
              </w:rPr>
              <w:t>20</w:t>
            </w:r>
            <w:r>
              <w:rPr>
                <w:rFonts w:hint="eastAsia" w:cs="宋体"/>
                <w:color w:val="auto"/>
                <w:sz w:val="21"/>
                <w:szCs w:val="21"/>
              </w:rPr>
              <w:t>分）</w:t>
            </w:r>
          </w:p>
        </w:tc>
        <w:tc>
          <w:tcPr>
            <w:tcW w:w="74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项目组专业人员配备需专业针对性强，配置合理齐全，具备以下证书：软件工程造价师或软件成本度里师证书</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（1）具备由ISACA(国际信息系统审计师协会)颁发</w:t>
            </w:r>
            <w:r>
              <w:rPr>
                <w:rFonts w:hint="eastAsia" w:ascii="宋体" w:hAnsi="宋体"/>
                <w:sz w:val="21"/>
                <w:szCs w:val="21"/>
                <w:lang w:val="en-US" w:eastAsia="zh-CN"/>
              </w:rPr>
              <w:t>的</w:t>
            </w:r>
            <w:r>
              <w:rPr>
                <w:rFonts w:hint="eastAsia" w:ascii="宋体" w:hAnsi="宋体"/>
                <w:sz w:val="21"/>
                <w:szCs w:val="21"/>
                <w:lang w:eastAsia="zh-CN"/>
              </w:rPr>
              <w:t>《</w:t>
            </w:r>
            <w:r>
              <w:rPr>
                <w:rFonts w:hint="eastAsia" w:ascii="宋体" w:hAnsi="宋体"/>
                <w:sz w:val="21"/>
                <w:szCs w:val="21"/>
              </w:rPr>
              <w:t>国际注册信息系统审计师</w:t>
            </w:r>
            <w:r>
              <w:rPr>
                <w:rFonts w:hint="eastAsia" w:ascii="宋体" w:hAnsi="宋体"/>
                <w:sz w:val="21"/>
                <w:szCs w:val="21"/>
                <w:lang w:eastAsia="zh-CN"/>
              </w:rPr>
              <w:t>》</w:t>
            </w:r>
            <w:r>
              <w:rPr>
                <w:rFonts w:hint="eastAsia" w:ascii="宋体" w:hAnsi="宋体"/>
                <w:sz w:val="21"/>
                <w:szCs w:val="21"/>
                <w:lang w:val="en-US" w:eastAsia="zh-CN"/>
              </w:rPr>
              <w:t>证书的得2分，</w:t>
            </w:r>
            <w:r>
              <w:rPr>
                <w:rFonts w:hint="eastAsia" w:ascii="宋体" w:hAnsi="宋体"/>
                <w:sz w:val="21"/>
                <w:szCs w:val="21"/>
              </w:rPr>
              <w:t>具备工业和信息化部教育与考试中心核发的《软件工程造价师》证书的得</w:t>
            </w:r>
            <w:r>
              <w:rPr>
                <w:rFonts w:hint="eastAsia" w:ascii="宋体" w:hAnsi="宋体"/>
                <w:sz w:val="21"/>
                <w:szCs w:val="21"/>
                <w:lang w:val="en-US" w:eastAsia="zh-CN"/>
              </w:rPr>
              <w:t>2</w:t>
            </w:r>
            <w:r>
              <w:rPr>
                <w:rFonts w:hint="eastAsia" w:ascii="宋体" w:hAnsi="宋体"/>
                <w:sz w:val="21"/>
                <w:szCs w:val="21"/>
              </w:rPr>
              <w:t>分，本项最多得</w:t>
            </w:r>
            <w:r>
              <w:rPr>
                <w:rFonts w:hint="eastAsia" w:ascii="宋体" w:hAnsi="宋体"/>
                <w:sz w:val="21"/>
                <w:szCs w:val="21"/>
                <w:lang w:val="en-US" w:eastAsia="zh-CN"/>
              </w:rPr>
              <w:t>10</w:t>
            </w:r>
            <w:r>
              <w:rPr>
                <w:rFonts w:hint="eastAsia" w:ascii="宋体" w:hAnsi="宋体"/>
                <w:sz w:val="21"/>
                <w:szCs w:val="21"/>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sz w:val="21"/>
                <w:szCs w:val="21"/>
              </w:rPr>
            </w:pPr>
            <w:r>
              <w:rPr>
                <w:rFonts w:hint="eastAsia" w:ascii="宋体" w:hAnsi="宋体"/>
                <w:sz w:val="21"/>
                <w:szCs w:val="21"/>
              </w:rPr>
              <w:t>（2）具备：①</w:t>
            </w:r>
            <w:r>
              <w:rPr>
                <w:rFonts w:hint="eastAsia" w:ascii="宋体" w:hAnsi="宋体"/>
                <w:sz w:val="21"/>
                <w:szCs w:val="21"/>
                <w:lang w:eastAsia="zh-CN"/>
              </w:rPr>
              <w:t>《</w:t>
            </w:r>
            <w:r>
              <w:rPr>
                <w:rFonts w:hint="eastAsia" w:ascii="宋体" w:hAnsi="宋体"/>
                <w:sz w:val="21"/>
                <w:szCs w:val="21"/>
                <w:lang w:val="en-US" w:eastAsia="zh-CN"/>
              </w:rPr>
              <w:t>执业注册会计师</w:t>
            </w:r>
            <w:r>
              <w:rPr>
                <w:rFonts w:hint="eastAsia" w:ascii="宋体" w:hAnsi="宋体"/>
                <w:sz w:val="21"/>
                <w:szCs w:val="21"/>
                <w:lang w:eastAsia="zh-CN"/>
              </w:rPr>
              <w:t>》</w:t>
            </w:r>
            <w:r>
              <w:rPr>
                <w:rFonts w:hint="eastAsia" w:ascii="宋体" w:hAnsi="宋体"/>
                <w:sz w:val="21"/>
                <w:szCs w:val="21"/>
                <w:lang w:val="en-US" w:eastAsia="zh-CN"/>
              </w:rPr>
              <w:t>证书</w:t>
            </w:r>
            <w:r>
              <w:rPr>
                <w:rFonts w:hint="eastAsia" w:ascii="宋体" w:hAnsi="宋体"/>
                <w:sz w:val="21"/>
                <w:szCs w:val="21"/>
              </w:rPr>
              <w:t>、②《信息系统项目管理师（软考）》证书、③《系统集成项目管理工程师（软考）》、④《软件设计师（软考）》、⑤《数据库系统工程师（软考）》、⑥《网络工程师（软考）》、⑦《信息安全工程师（软考）》、⑧《软件评测师（软考）》证书、⑨《信息系统管理工程师（软考）》证书</w:t>
            </w:r>
            <w:r>
              <w:rPr>
                <w:rFonts w:hint="eastAsia" w:ascii="宋体" w:hAnsi="宋体"/>
                <w:sz w:val="21"/>
                <w:szCs w:val="21"/>
                <w:lang w:eastAsia="zh-CN"/>
              </w:rPr>
              <w:t>、</w:t>
            </w:r>
            <w:r>
              <w:rPr>
                <w:rFonts w:hint="eastAsia" w:ascii="宋体" w:hAnsi="宋体"/>
                <w:sz w:val="21"/>
                <w:szCs w:val="21"/>
                <w:lang w:val="en-US" w:eastAsia="zh-CN"/>
              </w:rPr>
              <w:t>⑩</w:t>
            </w:r>
            <w:r>
              <w:rPr>
                <w:rFonts w:hint="eastAsia" w:ascii="宋体" w:hAnsi="宋体"/>
                <w:sz w:val="21"/>
                <w:szCs w:val="21"/>
                <w:lang w:eastAsia="zh-CN"/>
              </w:rPr>
              <w:t>《</w:t>
            </w:r>
            <w:r>
              <w:rPr>
                <w:rFonts w:hint="eastAsia" w:ascii="宋体" w:hAnsi="宋体"/>
                <w:sz w:val="21"/>
                <w:szCs w:val="21"/>
              </w:rPr>
              <w:t>软件成本</w:t>
            </w:r>
            <w:r>
              <w:rPr>
                <w:rFonts w:hint="eastAsia" w:ascii="宋体" w:hAnsi="宋体"/>
                <w:sz w:val="21"/>
                <w:szCs w:val="21"/>
                <w:lang w:val="en-US" w:eastAsia="zh-CN"/>
              </w:rPr>
              <w:t>度量</w:t>
            </w:r>
            <w:r>
              <w:rPr>
                <w:rFonts w:hint="eastAsia" w:ascii="宋体" w:hAnsi="宋体"/>
                <w:sz w:val="21"/>
                <w:szCs w:val="21"/>
              </w:rPr>
              <w:t>师（SSMCCEP）认证</w:t>
            </w:r>
            <w:r>
              <w:rPr>
                <w:rFonts w:hint="eastAsia" w:ascii="宋体" w:hAnsi="宋体"/>
                <w:sz w:val="21"/>
                <w:szCs w:val="21"/>
                <w:lang w:eastAsia="zh-CN"/>
              </w:rPr>
              <w:t>》</w:t>
            </w:r>
            <w:r>
              <w:rPr>
                <w:rFonts w:hint="eastAsia" w:ascii="宋体" w:hAnsi="宋体"/>
                <w:sz w:val="21"/>
                <w:szCs w:val="21"/>
              </w:rPr>
              <w:t>，每具备1类上述证书得</w:t>
            </w:r>
            <w:r>
              <w:rPr>
                <w:rFonts w:hint="eastAsia" w:ascii="宋体" w:hAnsi="宋体"/>
                <w:sz w:val="21"/>
                <w:szCs w:val="21"/>
                <w:lang w:val="en-US" w:eastAsia="zh-CN"/>
              </w:rPr>
              <w:t>1</w:t>
            </w:r>
            <w:r>
              <w:rPr>
                <w:rFonts w:hint="eastAsia" w:ascii="宋体" w:hAnsi="宋体"/>
                <w:sz w:val="21"/>
                <w:szCs w:val="21"/>
              </w:rPr>
              <w:t>分，一个人有多个证书的只计算一类证书，满分</w:t>
            </w:r>
            <w:r>
              <w:rPr>
                <w:rFonts w:hint="eastAsia" w:ascii="宋体" w:hAnsi="宋体"/>
                <w:sz w:val="21"/>
                <w:szCs w:val="21"/>
                <w:lang w:val="en-US" w:eastAsia="zh-CN"/>
              </w:rPr>
              <w:t>10</w:t>
            </w:r>
            <w:r>
              <w:rPr>
                <w:rFonts w:hint="eastAsia" w:ascii="宋体" w:hAnsi="宋体"/>
                <w:sz w:val="21"/>
                <w:szCs w:val="21"/>
              </w:rPr>
              <w:t>分。</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sz w:val="21"/>
                <w:szCs w:val="21"/>
              </w:rPr>
            </w:pPr>
            <w:r>
              <w:rPr>
                <w:rFonts w:hint="eastAsia" w:ascii="宋体" w:hAnsi="宋体"/>
                <w:sz w:val="21"/>
                <w:szCs w:val="21"/>
              </w:rPr>
              <w:t>注：（1）软考是指：中华人民共和国人力资源和社会保障部与中华人民共和国工业和信息化部核发的国家专业技术人员职业资格证书；（2）项目组成员必须为本单位人员，均须提供连续6个月在本公司的社保缴费证明，退休人员需提供退休证明、劳动合同或返聘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419" w:type="dxa"/>
            <w:vAlign w:val="center"/>
          </w:tcPr>
          <w:p>
            <w:pPr>
              <w:pStyle w:val="2"/>
              <w:keepNext w:val="0"/>
              <w:keepLines w:val="0"/>
              <w:pageBreakBefore w:val="0"/>
              <w:widowControl/>
              <w:kinsoku/>
              <w:wordWrap/>
              <w:overflowPunct/>
              <w:topLinePunct w:val="0"/>
              <w:autoSpaceDE/>
              <w:autoSpaceDN/>
              <w:bidi w:val="0"/>
              <w:adjustRightInd/>
              <w:snapToGrid/>
              <w:spacing w:line="320" w:lineRule="exact"/>
              <w:jc w:val="center"/>
              <w:textAlignment w:val="auto"/>
              <w:rPr>
                <w:rFonts w:cs="宋体"/>
                <w:color w:val="auto"/>
                <w:sz w:val="21"/>
                <w:szCs w:val="21"/>
              </w:rPr>
            </w:pPr>
            <w:r>
              <w:rPr>
                <w:rFonts w:hint="eastAsia" w:cs="宋体"/>
                <w:color w:val="auto"/>
                <w:sz w:val="21"/>
                <w:szCs w:val="21"/>
                <w:lang w:val="en-US" w:eastAsia="zh-CN"/>
              </w:rPr>
              <w:t>同类</w:t>
            </w:r>
            <w:r>
              <w:rPr>
                <w:rFonts w:hint="eastAsia" w:cs="宋体"/>
                <w:color w:val="auto"/>
                <w:sz w:val="21"/>
                <w:szCs w:val="21"/>
              </w:rPr>
              <w:t>业绩（满分</w:t>
            </w:r>
            <w:r>
              <w:rPr>
                <w:rFonts w:hint="eastAsia" w:cs="宋体"/>
                <w:color w:val="auto"/>
                <w:sz w:val="21"/>
                <w:szCs w:val="21"/>
                <w:lang w:val="en-US" w:eastAsia="zh-CN"/>
              </w:rPr>
              <w:t>10</w:t>
            </w:r>
            <w:r>
              <w:rPr>
                <w:rFonts w:hint="eastAsia" w:cs="宋体"/>
                <w:color w:val="auto"/>
                <w:sz w:val="21"/>
                <w:szCs w:val="21"/>
              </w:rPr>
              <w:t>分）</w:t>
            </w:r>
          </w:p>
        </w:tc>
        <w:tc>
          <w:tcPr>
            <w:tcW w:w="7400" w:type="dxa"/>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ascii="宋体" w:hAnsi="宋体"/>
                <w:sz w:val="21"/>
                <w:szCs w:val="21"/>
              </w:rPr>
            </w:pPr>
            <w:r>
              <w:rPr>
                <w:rFonts w:hint="eastAsia" w:ascii="宋体" w:hAnsi="宋体"/>
                <w:sz w:val="21"/>
                <w:szCs w:val="21"/>
              </w:rPr>
              <w:t>投标人近三年（202</w:t>
            </w:r>
            <w:r>
              <w:rPr>
                <w:rFonts w:hint="eastAsia" w:ascii="宋体" w:hAnsi="宋体"/>
                <w:sz w:val="21"/>
                <w:szCs w:val="21"/>
                <w:lang w:val="en-US" w:eastAsia="zh-CN"/>
              </w:rPr>
              <w:t>1</w:t>
            </w:r>
            <w:r>
              <w:rPr>
                <w:rFonts w:hint="eastAsia" w:ascii="宋体" w:hAnsi="宋体"/>
                <w:sz w:val="21"/>
                <w:szCs w:val="21"/>
              </w:rPr>
              <w:t>年-至今）承担过的一项</w:t>
            </w:r>
            <w:r>
              <w:rPr>
                <w:rFonts w:hint="eastAsia" w:ascii="宋体" w:hAnsi="宋体"/>
                <w:sz w:val="21"/>
                <w:szCs w:val="21"/>
                <w:lang w:val="en-US" w:eastAsia="zh-CN"/>
              </w:rPr>
              <w:t>同类信息化或新基建项目审计服务业绩，</w:t>
            </w:r>
            <w:r>
              <w:rPr>
                <w:rFonts w:hint="eastAsia" w:ascii="宋体" w:hAnsi="宋体"/>
                <w:sz w:val="21"/>
                <w:szCs w:val="21"/>
              </w:rPr>
              <w:t>业绩的得1分，分数加满为止。</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textAlignment w:val="auto"/>
        <w:rPr>
          <w:rFonts w:hint="eastAsia"/>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240" w:lineRule="auto"/>
        <w:textAlignment w:val="auto"/>
        <w:rPr>
          <w:rFonts w:hint="eastAsia"/>
          <w:sz w:val="28"/>
          <w:szCs w:val="28"/>
          <w:lang w:val="en-US" w:eastAsia="zh-CN"/>
        </w:rPr>
      </w:pPr>
      <w:r>
        <w:rPr>
          <w:rFonts w:hint="eastAsia"/>
          <w:sz w:val="28"/>
          <w:szCs w:val="28"/>
          <w:lang w:val="en-US" w:eastAsia="zh-CN"/>
        </w:rPr>
        <w:t>二、报价</w:t>
      </w:r>
      <w:bookmarkStart w:id="0" w:name="_GoBack"/>
      <w:bookmarkEnd w:id="0"/>
      <w:r>
        <w:rPr>
          <w:rFonts w:hint="eastAsia"/>
          <w:sz w:val="28"/>
          <w:szCs w:val="28"/>
          <w:lang w:val="en-US" w:eastAsia="zh-CN"/>
        </w:rPr>
        <w:t>部分（满分 20分）</w:t>
      </w:r>
    </w:p>
    <w:tbl>
      <w:tblPr>
        <w:tblStyle w:val="4"/>
        <w:tblpPr w:leftFromText="180" w:rightFromText="180" w:vertAnchor="text" w:horzAnchor="page" w:tblpX="1669" w:tblpY="644"/>
        <w:tblOverlap w:val="never"/>
        <w:tblW w:w="51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7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15" w:type="pct"/>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eastAsiaTheme="minorEastAsia"/>
                <w:b/>
                <w:bCs/>
                <w:sz w:val="24"/>
                <w:szCs w:val="24"/>
                <w:vertAlign w:val="baseline"/>
                <w:lang w:eastAsia="zh-CN"/>
              </w:rPr>
            </w:pPr>
            <w:r>
              <w:rPr>
                <w:rFonts w:hint="eastAsia"/>
                <w:b/>
                <w:bCs/>
                <w:sz w:val="24"/>
                <w:szCs w:val="24"/>
                <w:vertAlign w:val="baseline"/>
                <w:lang w:eastAsia="zh-CN"/>
              </w:rPr>
              <w:t>评分内容</w:t>
            </w:r>
          </w:p>
        </w:tc>
        <w:tc>
          <w:tcPr>
            <w:tcW w:w="4184" w:type="pct"/>
          </w:tcPr>
          <w:p>
            <w:pPr>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b/>
                <w:bCs/>
                <w:sz w:val="24"/>
                <w:szCs w:val="24"/>
                <w:vertAlign w:val="baseline"/>
                <w:lang w:eastAsia="zh-CN"/>
              </w:rPr>
            </w:pPr>
            <w:r>
              <w:rPr>
                <w:rFonts w:hint="eastAsia"/>
                <w:b/>
                <w:bCs/>
                <w:sz w:val="24"/>
                <w:szCs w:val="24"/>
                <w:vertAlign w:val="baseline"/>
                <w:lang w:eastAsia="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trPr>
        <w:tc>
          <w:tcPr>
            <w:tcW w:w="815" w:type="pct"/>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jc w:val="both"/>
              <w:textAlignment w:val="auto"/>
              <w:rPr>
                <w:rFonts w:hint="default" w:asciiTheme="minorHAnsi" w:hAnsiTheme="minorHAnsi" w:eastAsiaTheme="minorEastAsia" w:cstheme="minorBidi"/>
                <w:kern w:val="2"/>
                <w:sz w:val="24"/>
                <w:szCs w:val="24"/>
                <w:vertAlign w:val="baseline"/>
                <w:lang w:val="en-US" w:eastAsia="zh-CN" w:bidi="ar-SA"/>
              </w:rPr>
            </w:pPr>
            <w:r>
              <w:rPr>
                <w:rFonts w:hint="eastAsia"/>
                <w:vertAlign w:val="baseline"/>
                <w:lang w:val="en-US" w:eastAsia="zh-CN"/>
              </w:rPr>
              <w:t>报价（评标基准价/投标报价）*20</w:t>
            </w:r>
          </w:p>
        </w:tc>
        <w:tc>
          <w:tcPr>
            <w:tcW w:w="4184" w:type="pct"/>
            <w:vAlign w:val="center"/>
          </w:tcPr>
          <w:p>
            <w:pPr>
              <w:keepNext w:val="0"/>
              <w:keepLines w:val="0"/>
              <w:pageBreakBefore w:val="0"/>
              <w:widowControl w:val="0"/>
              <w:kinsoku/>
              <w:wordWrap/>
              <w:overflowPunct/>
              <w:topLinePunct w:val="0"/>
              <w:autoSpaceDE/>
              <w:autoSpaceDN/>
              <w:bidi w:val="0"/>
              <w:adjustRightInd/>
              <w:snapToGrid/>
              <w:spacing w:before="157" w:beforeLines="50" w:line="240" w:lineRule="auto"/>
              <w:jc w:val="both"/>
              <w:textAlignment w:val="auto"/>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报价最低的事务所的价格为基准价，其价格分为满分。其他事务所的报价得分=（基准价/最后报价）×价格权值×100%</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zOTM0ZjA3YjM3MmE1ZjY3ZDliMTIzNGUxN2UwM2MifQ=="/>
  </w:docVars>
  <w:rsids>
    <w:rsidRoot w:val="07725E9B"/>
    <w:rsid w:val="07725E9B"/>
    <w:rsid w:val="08474C63"/>
    <w:rsid w:val="08AF2937"/>
    <w:rsid w:val="12FA4365"/>
    <w:rsid w:val="214E4B36"/>
    <w:rsid w:val="235729A4"/>
    <w:rsid w:val="34E225C0"/>
    <w:rsid w:val="3A8C6A67"/>
    <w:rsid w:val="43336E3F"/>
    <w:rsid w:val="442C755A"/>
    <w:rsid w:val="453D2234"/>
    <w:rsid w:val="49BE5A78"/>
    <w:rsid w:val="4B440F7E"/>
    <w:rsid w:val="4CA75CAB"/>
    <w:rsid w:val="4E9254D9"/>
    <w:rsid w:val="50097FE5"/>
    <w:rsid w:val="55C06D13"/>
    <w:rsid w:val="5BA12451"/>
    <w:rsid w:val="5F7639D9"/>
    <w:rsid w:val="60442449"/>
    <w:rsid w:val="60484E25"/>
    <w:rsid w:val="6F070882"/>
    <w:rsid w:val="72B8241C"/>
    <w:rsid w:val="79F75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pPr>
    <w:rPr>
      <w:rFonts w:ascii="宋体" w:hAnsi="宋体"/>
      <w:color w:val="000000"/>
      <w:sz w:val="24"/>
      <w:szCs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2024-09-19T08:54:00Z</dcterms:created>
  <dc:creator>默默呀</dc:creator>
  <cp:lastModifiedBy>Administrator</cp:lastModifiedBy>
  <dcterms:modified xsi:type="dcterms:W3CDTF">2024-09-24T06:16:52Z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AC91BD3A25BD4A35AF1FACF3C2649F94_11</vt:lpwstr>
  </property>
</Properties>
</file>