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  <w:t>高频电刀技术参数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1、供电电源：220±10%,50Hz±1Hz,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2、整机输入功率：800VA, 最大输出功率350W。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3、具有专用的电外科治疗模块，可满足各科手术要求。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电切：纯切1、纯切2、混切1、混切2,最大输出功率为350W, 负载(500Ω)。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4、单极电凝：柔和凝(负载1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00Ω)强力凝、喷射凝，最大输出功率为120W, 负载(500Ω)。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双极电凝：最大输出功率为100W, 负载(100Ω)。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★5、具有专用内镜治疗模块：内镜切1、内镜切2最大输出功率为150W, 分别具有4种强度，4种效果可调，负载为(500Ω)。可开展内镜下各种高频治疗。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6、大屏幕液晶显示，直观、明显、易操作。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7、步进方式：0-50W时，以1W步进；大于50W,以 5W步进。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★8、内镜治疗一键式选择，可用于息肉圈套、EMR、ERCP、ESD、POEM等治疗。智能控制输出功率大小，精细切割。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9、具有手控、脚控两种控制方式。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10、高频电刀电磁兼容，1组B类全浮地形式输出，CF型设备。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★11、采用三联脚踏分别控制电切、电凝、双极电凝，可自动转换，方便操作者使用。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12、单、双中性极板检测功能，极板故障时，发出报警并停止输出。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★13、具有语音报警提示，醒目、直观了解报警原因。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14、具有双反馈回路总的功率控制，输出功率稳定可靠。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★15、具有音量调节功能，亮度调节功能。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备注：质保期3年，增配脚踏开关1个，高频连接电缆线2套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（此项为实质性条款）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41BE4"/>
    <w:rsid w:val="5D1B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2024-06-19T00:47:00Z</dcterms:created>
  <dc:creator>Administrator</dc:creator>
  <cp:lastModifiedBy>Administrator</cp:lastModifiedBy>
  <dcterms:modified xsi:type="dcterms:W3CDTF">2024-11-13T03:54:50Z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1E45C8FF48724B39A35FEC42A40D7AB0</vt:lpwstr>
  </property>
</Properties>
</file>