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1521"/>
        <w:gridCol w:w="7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adjustRightInd w:val="0"/>
              <w:snapToGrid w:val="0"/>
              <w:jc w:val="center"/>
              <w:rPr>
                <w:rFonts w:ascii="宋体" w:hAnsi="宋体" w:cs="华文仿宋"/>
                <w:b/>
                <w:sz w:val="24"/>
              </w:rPr>
            </w:pPr>
            <w:r>
              <w:rPr>
                <w:rFonts w:hint="eastAsia" w:ascii="宋体" w:hAnsi="宋体" w:cs="华文仿宋"/>
                <w:b/>
                <w:sz w:val="24"/>
              </w:rPr>
              <w:t>评分</w:t>
            </w:r>
          </w:p>
          <w:p>
            <w:pPr>
              <w:adjustRightInd w:val="0"/>
              <w:snapToGrid w:val="0"/>
              <w:jc w:val="center"/>
              <w:rPr>
                <w:rFonts w:ascii="宋体" w:hAnsi="宋体" w:cs="华文仿宋"/>
                <w:b/>
                <w:sz w:val="24"/>
              </w:rPr>
            </w:pPr>
            <w:r>
              <w:rPr>
                <w:rFonts w:hint="eastAsia" w:ascii="宋体" w:hAnsi="宋体" w:cs="华文仿宋"/>
                <w:b/>
                <w:sz w:val="24"/>
              </w:rPr>
              <w:t>因素</w:t>
            </w:r>
          </w:p>
        </w:tc>
        <w:tc>
          <w:tcPr>
            <w:tcW w:w="1134" w:type="dxa"/>
            <w:vAlign w:val="center"/>
          </w:tcPr>
          <w:p>
            <w:pPr>
              <w:adjustRightInd w:val="0"/>
              <w:snapToGrid w:val="0"/>
              <w:jc w:val="center"/>
              <w:rPr>
                <w:rFonts w:ascii="宋体" w:hAnsi="宋体" w:cs="华文仿宋"/>
                <w:b/>
                <w:sz w:val="24"/>
              </w:rPr>
            </w:pPr>
            <w:r>
              <w:rPr>
                <w:rFonts w:hint="eastAsia" w:ascii="宋体" w:hAnsi="宋体" w:cs="华文仿宋"/>
                <w:b/>
                <w:sz w:val="24"/>
              </w:rPr>
              <w:t>分值</w:t>
            </w:r>
          </w:p>
          <w:p>
            <w:pPr>
              <w:adjustRightInd w:val="0"/>
              <w:snapToGrid w:val="0"/>
              <w:jc w:val="center"/>
              <w:rPr>
                <w:rFonts w:ascii="宋体" w:hAnsi="宋体" w:cs="华文仿宋"/>
                <w:b/>
                <w:sz w:val="24"/>
              </w:rPr>
            </w:pPr>
            <w:r>
              <w:rPr>
                <w:rFonts w:hint="eastAsia" w:ascii="宋体" w:hAnsi="宋体" w:cs="华文仿宋"/>
                <w:b/>
                <w:sz w:val="24"/>
              </w:rPr>
              <w:t>构成</w:t>
            </w:r>
          </w:p>
        </w:tc>
        <w:tc>
          <w:tcPr>
            <w:tcW w:w="8534" w:type="dxa"/>
            <w:gridSpan w:val="2"/>
            <w:vAlign w:val="center"/>
          </w:tcPr>
          <w:p>
            <w:pPr>
              <w:adjustRightInd w:val="0"/>
              <w:snapToGrid w:val="0"/>
              <w:jc w:val="center"/>
              <w:rPr>
                <w:rFonts w:ascii="宋体" w:hAnsi="宋体" w:cs="华文仿宋"/>
                <w:b/>
                <w:sz w:val="24"/>
              </w:rPr>
            </w:pPr>
            <w:r>
              <w:rPr>
                <w:rFonts w:hint="eastAsia" w:ascii="宋体" w:hAnsi="宋体" w:cs="华文仿宋"/>
                <w:b/>
                <w:sz w:val="24"/>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959" w:type="dxa"/>
            <w:vAlign w:val="center"/>
          </w:tcPr>
          <w:p>
            <w:pPr>
              <w:adjustRightInd w:val="0"/>
              <w:snapToGrid w:val="0"/>
              <w:jc w:val="center"/>
              <w:rPr>
                <w:rFonts w:ascii="宋体" w:hAnsi="宋体" w:cs="华文仿宋"/>
                <w:b/>
                <w:sz w:val="24"/>
              </w:rPr>
            </w:pPr>
            <w:r>
              <w:rPr>
                <w:rFonts w:hint="eastAsia" w:ascii="宋体" w:hAnsi="宋体" w:cs="华文仿宋"/>
                <w:b/>
                <w:sz w:val="24"/>
              </w:rPr>
              <w:t>价格部分（A）</w:t>
            </w:r>
          </w:p>
        </w:tc>
        <w:tc>
          <w:tcPr>
            <w:tcW w:w="1134" w:type="dxa"/>
            <w:vAlign w:val="center"/>
          </w:tcPr>
          <w:p>
            <w:pPr>
              <w:adjustRightInd w:val="0"/>
              <w:snapToGrid w:val="0"/>
              <w:jc w:val="center"/>
              <w:rPr>
                <w:rFonts w:ascii="宋体" w:hAnsi="宋体" w:cs="华文仿宋"/>
                <w:b/>
                <w:sz w:val="24"/>
              </w:rPr>
            </w:pPr>
            <w:r>
              <w:rPr>
                <w:rFonts w:ascii="宋体" w:hAnsi="宋体" w:cs="华文仿宋"/>
                <w:b/>
                <w:sz w:val="24"/>
              </w:rPr>
              <w:t>10</w:t>
            </w:r>
            <w:r>
              <w:rPr>
                <w:rFonts w:hint="eastAsia" w:ascii="宋体" w:hAnsi="宋体" w:cs="华文仿宋"/>
                <w:b/>
                <w:sz w:val="24"/>
              </w:rPr>
              <w:t>分</w:t>
            </w:r>
          </w:p>
        </w:tc>
        <w:tc>
          <w:tcPr>
            <w:tcW w:w="8534" w:type="dxa"/>
            <w:gridSpan w:val="2"/>
            <w:vAlign w:val="center"/>
          </w:tcPr>
          <w:p>
            <w:pPr>
              <w:adjustRightInd w:val="0"/>
              <w:snapToGrid w:val="0"/>
              <w:rPr>
                <w:rFonts w:ascii="宋体" w:hAnsi="宋体" w:cs="华文仿宋"/>
                <w:sz w:val="24"/>
              </w:rPr>
            </w:pPr>
            <w:r>
              <w:rPr>
                <w:rFonts w:hint="eastAsia" w:ascii="宋体" w:hAnsi="宋体" w:cs="华文仿宋"/>
                <w:sz w:val="24"/>
              </w:rPr>
              <w:t>谈判总报价得分为</w:t>
            </w:r>
            <w:r>
              <w:rPr>
                <w:rFonts w:ascii="宋体" w:hAnsi="宋体" w:cs="华文仿宋"/>
                <w:sz w:val="24"/>
              </w:rPr>
              <w:t>10</w:t>
            </w:r>
            <w:r>
              <w:rPr>
                <w:rFonts w:hint="eastAsia" w:ascii="宋体" w:hAnsi="宋体" w:cs="华文仿宋"/>
                <w:sz w:val="24"/>
              </w:rPr>
              <w:t>分，计算方法如下：</w:t>
            </w:r>
          </w:p>
          <w:p>
            <w:pPr>
              <w:adjustRightInd w:val="0"/>
              <w:snapToGrid w:val="0"/>
              <w:rPr>
                <w:rFonts w:ascii="宋体" w:hAnsi="宋体" w:cs="华文仿宋"/>
                <w:sz w:val="24"/>
              </w:rPr>
            </w:pPr>
            <w:r>
              <w:rPr>
                <w:rFonts w:hint="eastAsia" w:ascii="宋体" w:hAnsi="宋体" w:cs="华文仿宋"/>
                <w:sz w:val="24"/>
              </w:rPr>
              <w:t>报价得分计算公式=评标基准价/该供应商报价×</w:t>
            </w:r>
            <w:r>
              <w:rPr>
                <w:rFonts w:ascii="宋体" w:hAnsi="宋体" w:cs="华文仿宋"/>
                <w:sz w:val="24"/>
              </w:rPr>
              <w:t>1</w:t>
            </w:r>
            <w:r>
              <w:rPr>
                <w:rFonts w:hint="eastAsia" w:ascii="宋体" w:hAnsi="宋体" w:cs="华文仿宋"/>
                <w:sz w:val="24"/>
              </w:rPr>
              <w:t>0</w:t>
            </w:r>
          </w:p>
          <w:p>
            <w:pPr>
              <w:adjustRightInd w:val="0"/>
              <w:snapToGrid w:val="0"/>
              <w:rPr>
                <w:rFonts w:ascii="宋体" w:hAnsi="宋体" w:cs="华文仿宋"/>
                <w:sz w:val="24"/>
              </w:rPr>
            </w:pPr>
            <w:r>
              <w:rPr>
                <w:rFonts w:hint="eastAsia" w:ascii="宋体" w:hAnsi="宋体" w:cs="华文仿宋"/>
                <w:sz w:val="24"/>
              </w:rPr>
              <w:t>注：</w:t>
            </w:r>
          </w:p>
          <w:p>
            <w:pPr>
              <w:adjustRightInd w:val="0"/>
              <w:snapToGrid w:val="0"/>
              <w:rPr>
                <w:rFonts w:ascii="宋体" w:hAnsi="宋体" w:cs="华文仿宋"/>
                <w:sz w:val="24"/>
              </w:rPr>
            </w:pPr>
            <w:r>
              <w:rPr>
                <w:rFonts w:hint="eastAsia" w:ascii="宋体" w:hAnsi="宋体" w:cs="华文仿宋"/>
                <w:sz w:val="24"/>
              </w:rPr>
              <w:t>1.评标基准价为经初步审查合格且最终报价最低的有效投标报价；</w:t>
            </w:r>
          </w:p>
          <w:p>
            <w:pPr>
              <w:adjustRightInd w:val="0"/>
              <w:snapToGrid w:val="0"/>
              <w:rPr>
                <w:rFonts w:ascii="宋体" w:hAnsi="宋体" w:cs="华文仿宋"/>
                <w:sz w:val="24"/>
              </w:rPr>
            </w:pPr>
            <w:r>
              <w:rPr>
                <w:rFonts w:hint="eastAsia" w:ascii="宋体" w:hAnsi="宋体" w:cs="华文仿宋"/>
                <w:sz w:val="24"/>
              </w:rPr>
              <w:t>2.报价等于评标基准价的得满分；</w:t>
            </w:r>
          </w:p>
          <w:p>
            <w:pPr>
              <w:adjustRightInd w:val="0"/>
              <w:snapToGrid w:val="0"/>
              <w:rPr>
                <w:rFonts w:ascii="宋体" w:hAnsi="宋体" w:cs="华文仿宋"/>
                <w:sz w:val="24"/>
              </w:rPr>
            </w:pPr>
            <w:r>
              <w:rPr>
                <w:rFonts w:hint="eastAsia" w:ascii="宋体" w:hAnsi="宋体" w:cs="华文仿宋"/>
                <w:sz w:val="24"/>
              </w:rPr>
              <w:t>3.计算结果四舍五入保留小数点两位。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vAlign w:val="center"/>
          </w:tcPr>
          <w:p>
            <w:pPr>
              <w:adjustRightInd w:val="0"/>
              <w:snapToGrid w:val="0"/>
              <w:jc w:val="center"/>
              <w:rPr>
                <w:rFonts w:ascii="宋体" w:hAnsi="宋体" w:cs="华文仿宋"/>
                <w:b/>
                <w:sz w:val="24"/>
              </w:rPr>
            </w:pPr>
            <w:r>
              <w:rPr>
                <w:rFonts w:hint="eastAsia" w:ascii="宋体" w:hAnsi="宋体" w:cs="华文仿宋"/>
                <w:b/>
                <w:sz w:val="24"/>
              </w:rPr>
              <w:t>技术和商务部分（B）</w:t>
            </w:r>
          </w:p>
        </w:tc>
        <w:tc>
          <w:tcPr>
            <w:tcW w:w="1134" w:type="dxa"/>
            <w:vMerge w:val="restart"/>
            <w:vAlign w:val="center"/>
          </w:tcPr>
          <w:p>
            <w:pPr>
              <w:adjustRightInd w:val="0"/>
              <w:snapToGrid w:val="0"/>
              <w:jc w:val="center"/>
              <w:rPr>
                <w:rFonts w:ascii="宋体" w:hAnsi="宋体" w:cs="华文仿宋"/>
                <w:b/>
                <w:sz w:val="24"/>
              </w:rPr>
            </w:pPr>
            <w:r>
              <w:rPr>
                <w:rFonts w:ascii="宋体" w:hAnsi="宋体" w:cs="华文仿宋"/>
                <w:b/>
                <w:sz w:val="24"/>
              </w:rPr>
              <w:t>90</w:t>
            </w:r>
            <w:r>
              <w:rPr>
                <w:rFonts w:hint="eastAsia" w:ascii="宋体" w:hAnsi="宋体" w:cs="华文仿宋"/>
                <w:b/>
                <w:sz w:val="24"/>
              </w:rPr>
              <w:t>分</w:t>
            </w:r>
          </w:p>
        </w:tc>
        <w:tc>
          <w:tcPr>
            <w:tcW w:w="1521" w:type="dxa"/>
            <w:vAlign w:val="center"/>
          </w:tcPr>
          <w:p>
            <w:pPr>
              <w:widowControl/>
              <w:adjustRightInd w:val="0"/>
              <w:snapToGrid w:val="0"/>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项目监理组织措施（满分1</w:t>
            </w:r>
            <w:r>
              <w:rPr>
                <w:rFonts w:ascii="宋体" w:hAnsi="宋体"/>
                <w:sz w:val="24"/>
              </w:rPr>
              <w:t>5</w:t>
            </w:r>
            <w:r>
              <w:rPr>
                <w:rFonts w:hint="eastAsia" w:ascii="宋体" w:hAnsi="宋体"/>
                <w:sz w:val="24"/>
              </w:rPr>
              <w:t>分）</w:t>
            </w:r>
          </w:p>
        </w:tc>
        <w:tc>
          <w:tcPr>
            <w:tcW w:w="7013" w:type="dxa"/>
            <w:vAlign w:val="center"/>
          </w:tcPr>
          <w:p>
            <w:pPr>
              <w:widowControl/>
              <w:adjustRightInd w:val="0"/>
              <w:snapToGrid w:val="0"/>
              <w:jc w:val="left"/>
              <w:rPr>
                <w:rFonts w:ascii="宋体" w:hAnsi="宋体"/>
                <w:b/>
                <w:bCs/>
                <w:sz w:val="24"/>
              </w:rPr>
            </w:pPr>
            <w:r>
              <w:rPr>
                <w:rFonts w:hint="eastAsia" w:ascii="宋体" w:hAnsi="宋体"/>
                <w:b/>
                <w:bCs/>
                <w:sz w:val="24"/>
              </w:rPr>
              <w:t>1</w:t>
            </w:r>
            <w:r>
              <w:rPr>
                <w:rFonts w:ascii="宋体" w:hAnsi="宋体"/>
                <w:b/>
                <w:bCs/>
                <w:sz w:val="24"/>
              </w:rPr>
              <w:t>.1</w:t>
            </w:r>
            <w:r>
              <w:rPr>
                <w:rFonts w:hint="eastAsia" w:ascii="宋体" w:hAnsi="宋体"/>
                <w:b/>
                <w:bCs/>
                <w:sz w:val="24"/>
              </w:rPr>
              <w:t>项目监理组织措施的相适及合理性程度（满分10分）</w:t>
            </w:r>
          </w:p>
          <w:p>
            <w:pPr>
              <w:widowControl/>
              <w:adjustRightInd w:val="0"/>
              <w:snapToGrid w:val="0"/>
              <w:jc w:val="left"/>
              <w:rPr>
                <w:rFonts w:ascii="宋体" w:hAnsi="宋体"/>
                <w:sz w:val="24"/>
              </w:rPr>
            </w:pPr>
            <w:r>
              <w:rPr>
                <w:rFonts w:hint="eastAsia" w:ascii="宋体" w:hAnsi="宋体"/>
                <w:sz w:val="24"/>
              </w:rPr>
              <w:t>第一档次：监理组织措施合理、针对性强、满足并工程需要的，得7-10分；</w:t>
            </w:r>
          </w:p>
          <w:p>
            <w:pPr>
              <w:widowControl/>
              <w:adjustRightInd w:val="0"/>
              <w:snapToGrid w:val="0"/>
              <w:jc w:val="left"/>
              <w:rPr>
                <w:rFonts w:ascii="宋体" w:hAnsi="宋体"/>
                <w:sz w:val="24"/>
              </w:rPr>
            </w:pPr>
            <w:r>
              <w:rPr>
                <w:rFonts w:hint="eastAsia" w:ascii="宋体" w:hAnsi="宋体"/>
                <w:sz w:val="24"/>
              </w:rPr>
              <w:t>第二档次：监理组织措施一般、针对性一般、满足工程需要的，得3-6分；</w:t>
            </w:r>
          </w:p>
          <w:p>
            <w:pPr>
              <w:adjustRightInd w:val="0"/>
              <w:snapToGrid w:val="0"/>
              <w:jc w:val="left"/>
              <w:rPr>
                <w:rFonts w:ascii="宋体" w:hAnsi="宋体"/>
                <w:sz w:val="24"/>
              </w:rPr>
            </w:pPr>
            <w:r>
              <w:rPr>
                <w:rFonts w:hint="eastAsia" w:ascii="宋体" w:hAnsi="宋体"/>
                <w:sz w:val="24"/>
              </w:rPr>
              <w:t>第三档次：监理组织措施较差，缺乏针对性的，得0-2分</w:t>
            </w:r>
          </w:p>
          <w:p>
            <w:pPr>
              <w:pStyle w:val="5"/>
              <w:adjustRightInd w:val="0"/>
              <w:snapToGrid w:val="0"/>
              <w:jc w:val="left"/>
              <w:rPr>
                <w:rFonts w:ascii="宋体" w:hAnsi="宋体" w:cs="仿宋"/>
                <w:b/>
                <w:bCs/>
                <w:sz w:val="24"/>
                <w:szCs w:val="24"/>
              </w:rPr>
            </w:pPr>
            <w:r>
              <w:rPr>
                <w:rFonts w:ascii="宋体" w:hAnsi="宋体" w:cs="仿宋"/>
                <w:b/>
                <w:bCs/>
                <w:color w:val="000000"/>
                <w:sz w:val="24"/>
                <w:szCs w:val="24"/>
              </w:rPr>
              <w:t>1.2</w:t>
            </w:r>
            <w:r>
              <w:rPr>
                <w:rFonts w:hint="eastAsia" w:ascii="宋体" w:hAnsi="宋体" w:cs="仿宋"/>
                <w:b/>
                <w:bCs/>
                <w:color w:val="000000"/>
                <w:sz w:val="24"/>
                <w:szCs w:val="24"/>
              </w:rPr>
              <w:t>机构岗位分工、职责明确程度</w:t>
            </w:r>
            <w:r>
              <w:rPr>
                <w:rFonts w:hint="eastAsia" w:ascii="宋体" w:hAnsi="宋体" w:cs="仿宋"/>
                <w:b/>
                <w:bCs/>
                <w:sz w:val="24"/>
                <w:szCs w:val="24"/>
              </w:rPr>
              <w:t>（满分5分)</w:t>
            </w:r>
          </w:p>
          <w:p>
            <w:pPr>
              <w:pStyle w:val="5"/>
              <w:adjustRightInd w:val="0"/>
              <w:snapToGrid w:val="0"/>
              <w:jc w:val="left"/>
              <w:rPr>
                <w:rFonts w:ascii="宋体" w:hAnsi="宋体" w:cs="仿宋"/>
                <w:color w:val="000000"/>
                <w:sz w:val="24"/>
                <w:szCs w:val="24"/>
              </w:rPr>
            </w:pPr>
            <w:r>
              <w:rPr>
                <w:rFonts w:hint="eastAsia" w:ascii="宋体" w:hAnsi="宋体" w:cs="仿宋"/>
                <w:color w:val="000000"/>
                <w:sz w:val="24"/>
                <w:szCs w:val="24"/>
              </w:rPr>
              <w:t>（1）第一档次：岗位分工、职责明确程度对工程实际的针对性强、满足工程需要的，得4-5分；</w:t>
            </w:r>
          </w:p>
          <w:p>
            <w:pPr>
              <w:pStyle w:val="5"/>
              <w:adjustRightInd w:val="0"/>
              <w:snapToGrid w:val="0"/>
              <w:jc w:val="left"/>
              <w:rPr>
                <w:rFonts w:ascii="宋体" w:hAnsi="宋体" w:cs="仿宋"/>
                <w:color w:val="000000"/>
                <w:sz w:val="24"/>
                <w:szCs w:val="24"/>
              </w:rPr>
            </w:pPr>
            <w:r>
              <w:rPr>
                <w:rFonts w:hint="eastAsia" w:ascii="宋体" w:hAnsi="宋体" w:cs="仿宋"/>
                <w:color w:val="000000"/>
                <w:sz w:val="24"/>
                <w:szCs w:val="24"/>
              </w:rPr>
              <w:t>（2）第二档次：岗位分工、职责明确程度对工程实际的针对性一般、满足工程需要的，得2-3分；</w:t>
            </w:r>
          </w:p>
          <w:p>
            <w:pPr>
              <w:adjustRightInd w:val="0"/>
              <w:snapToGrid w:val="0"/>
              <w:jc w:val="left"/>
              <w:rPr>
                <w:rFonts w:ascii="宋体" w:hAnsi="宋体"/>
                <w:sz w:val="24"/>
              </w:rPr>
            </w:pPr>
            <w:r>
              <w:rPr>
                <w:rFonts w:hint="eastAsia" w:ascii="宋体" w:hAnsi="宋体" w:cs="仿宋"/>
                <w:color w:val="000000"/>
                <w:sz w:val="24"/>
                <w:szCs w:val="24"/>
              </w:rPr>
              <w:t>（3）第三档次：岗位分工、职责明确程度对工程实际的针对性较差，对工程需要满足程度较差的，得0-1分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pPr>
              <w:adjustRightInd w:val="0"/>
              <w:snapToGrid w:val="0"/>
              <w:jc w:val="center"/>
              <w:rPr>
                <w:rFonts w:ascii="宋体" w:hAnsi="宋体" w:cs="华文仿宋"/>
                <w:b/>
                <w:sz w:val="24"/>
              </w:rPr>
            </w:pPr>
          </w:p>
        </w:tc>
        <w:tc>
          <w:tcPr>
            <w:tcW w:w="1134" w:type="dxa"/>
            <w:vMerge w:val="continue"/>
            <w:vAlign w:val="center"/>
          </w:tcPr>
          <w:p>
            <w:pPr>
              <w:adjustRightInd w:val="0"/>
              <w:snapToGrid w:val="0"/>
              <w:jc w:val="center"/>
              <w:rPr>
                <w:rFonts w:ascii="宋体" w:hAnsi="宋体" w:cs="华文仿宋"/>
                <w:b/>
                <w:sz w:val="24"/>
              </w:rPr>
            </w:pPr>
          </w:p>
        </w:tc>
        <w:tc>
          <w:tcPr>
            <w:tcW w:w="1521" w:type="dxa"/>
            <w:vAlign w:val="center"/>
          </w:tcPr>
          <w:p>
            <w:pPr>
              <w:widowControl/>
              <w:adjustRightInd w:val="0"/>
              <w:snapToGrid w:val="0"/>
              <w:jc w:val="left"/>
              <w:rPr>
                <w:rFonts w:ascii="宋体" w:hAnsi="宋体"/>
                <w:sz w:val="24"/>
              </w:rPr>
            </w:pPr>
            <w:r>
              <w:rPr>
                <w:rFonts w:hint="eastAsia" w:ascii="宋体" w:hAnsi="宋体"/>
                <w:sz w:val="24"/>
              </w:rPr>
              <w:t>2.项目目标控制的监理措施（满分25分)</w:t>
            </w:r>
          </w:p>
        </w:tc>
        <w:tc>
          <w:tcPr>
            <w:tcW w:w="7013" w:type="dxa"/>
            <w:vAlign w:val="center"/>
          </w:tcPr>
          <w:p>
            <w:pPr>
              <w:pStyle w:val="5"/>
              <w:contextualSpacing/>
              <w:jc w:val="left"/>
              <w:rPr>
                <w:rFonts w:ascii="宋体" w:hAnsi="宋体" w:cs="仿宋"/>
                <w:b/>
                <w:bCs/>
                <w:color w:val="000000"/>
                <w:sz w:val="24"/>
                <w:szCs w:val="24"/>
              </w:rPr>
            </w:pPr>
            <w:r>
              <w:rPr>
                <w:rFonts w:hint="eastAsia" w:ascii="宋体" w:hAnsi="宋体" w:cs="仿宋"/>
                <w:b/>
                <w:bCs/>
                <w:color w:val="000000"/>
                <w:sz w:val="24"/>
                <w:szCs w:val="24"/>
              </w:rPr>
              <w:t>2.1质量控制监理措施（满分7分）</w:t>
            </w:r>
          </w:p>
          <w:p>
            <w:pPr>
              <w:pStyle w:val="5"/>
              <w:contextualSpacing/>
              <w:jc w:val="left"/>
              <w:rPr>
                <w:rFonts w:ascii="宋体" w:hAnsi="宋体"/>
                <w:sz w:val="24"/>
                <w:szCs w:val="24"/>
              </w:rPr>
            </w:pPr>
            <w:r>
              <w:rPr>
                <w:rFonts w:hint="eastAsia" w:ascii="宋体" w:hAnsi="宋体"/>
                <w:sz w:val="24"/>
                <w:szCs w:val="24"/>
              </w:rPr>
              <w:t>第一档次：质量控制监理措施科学、合理具有先进性，措施得当，针对性强的，得5-7分；</w:t>
            </w:r>
          </w:p>
          <w:p>
            <w:pPr>
              <w:pStyle w:val="5"/>
              <w:contextualSpacing/>
              <w:jc w:val="left"/>
              <w:rPr>
                <w:rFonts w:ascii="宋体" w:hAnsi="宋体"/>
                <w:sz w:val="24"/>
                <w:szCs w:val="24"/>
              </w:rPr>
            </w:pPr>
            <w:r>
              <w:rPr>
                <w:rFonts w:hint="eastAsia" w:ascii="宋体" w:hAnsi="宋体"/>
                <w:sz w:val="24"/>
                <w:szCs w:val="24"/>
              </w:rPr>
              <w:t>第二档次：质量控制监理措施科学性、合理性一般，措施得当，针对性一般的，得2-4分；</w:t>
            </w:r>
          </w:p>
          <w:p>
            <w:pPr>
              <w:pStyle w:val="5"/>
              <w:contextualSpacing/>
              <w:jc w:val="left"/>
              <w:rPr>
                <w:rFonts w:ascii="宋体" w:hAnsi="宋体"/>
                <w:sz w:val="24"/>
                <w:szCs w:val="24"/>
              </w:rPr>
            </w:pPr>
            <w:r>
              <w:rPr>
                <w:rFonts w:hint="eastAsia" w:ascii="宋体" w:hAnsi="宋体"/>
                <w:sz w:val="24"/>
                <w:szCs w:val="24"/>
              </w:rPr>
              <w:t>第三档次：质量控制监理措施科学性、合理性较差，措施不得当，针对性较差的，得0-1分。</w:t>
            </w:r>
          </w:p>
          <w:p>
            <w:pPr>
              <w:pStyle w:val="5"/>
              <w:contextualSpacing/>
              <w:jc w:val="left"/>
              <w:rPr>
                <w:rFonts w:ascii="宋体" w:hAnsi="宋体" w:cs="仿宋"/>
                <w:b/>
                <w:bCs/>
                <w:color w:val="000000"/>
                <w:sz w:val="24"/>
                <w:szCs w:val="24"/>
              </w:rPr>
            </w:pPr>
            <w:r>
              <w:rPr>
                <w:rFonts w:hint="eastAsia" w:ascii="宋体" w:hAnsi="宋体" w:cs="仿宋"/>
                <w:b/>
                <w:bCs/>
                <w:color w:val="000000"/>
                <w:sz w:val="24"/>
                <w:szCs w:val="24"/>
              </w:rPr>
              <w:t>2.2进度控制监理措施（满分7分）</w:t>
            </w:r>
          </w:p>
          <w:p>
            <w:pPr>
              <w:pStyle w:val="5"/>
              <w:contextualSpacing/>
              <w:jc w:val="left"/>
              <w:rPr>
                <w:rFonts w:ascii="宋体" w:hAnsi="宋体" w:cs="仿宋"/>
                <w:color w:val="000000"/>
                <w:sz w:val="24"/>
                <w:szCs w:val="24"/>
              </w:rPr>
            </w:pPr>
            <w:r>
              <w:rPr>
                <w:rFonts w:hint="eastAsia" w:ascii="宋体" w:hAnsi="宋体" w:cs="仿宋"/>
                <w:color w:val="000000"/>
                <w:sz w:val="24"/>
                <w:szCs w:val="24"/>
              </w:rPr>
              <w:t>第一档次：进度控制监理措施科学、合理具有先进性，措施得当，针对性强的，得5-7分；</w:t>
            </w:r>
          </w:p>
          <w:p>
            <w:pPr>
              <w:pStyle w:val="5"/>
              <w:contextualSpacing/>
              <w:jc w:val="left"/>
              <w:rPr>
                <w:rFonts w:ascii="宋体" w:hAnsi="宋体" w:cs="仿宋"/>
                <w:color w:val="000000"/>
                <w:sz w:val="24"/>
                <w:szCs w:val="24"/>
              </w:rPr>
            </w:pPr>
            <w:r>
              <w:rPr>
                <w:rFonts w:hint="eastAsia" w:ascii="宋体" w:hAnsi="宋体" w:cs="仿宋"/>
                <w:color w:val="000000"/>
                <w:sz w:val="24"/>
                <w:szCs w:val="24"/>
              </w:rPr>
              <w:t>第二档次：进度控制监理措施科学性、合理性一般，措施得当，针对性一般的，得2-4分；</w:t>
            </w:r>
          </w:p>
          <w:p>
            <w:pPr>
              <w:pStyle w:val="5"/>
              <w:contextualSpacing/>
              <w:jc w:val="left"/>
              <w:rPr>
                <w:rFonts w:ascii="宋体" w:hAnsi="宋体" w:cs="仿宋"/>
                <w:color w:val="000000"/>
                <w:sz w:val="24"/>
                <w:szCs w:val="24"/>
              </w:rPr>
            </w:pPr>
            <w:r>
              <w:rPr>
                <w:rFonts w:hint="eastAsia" w:ascii="宋体" w:hAnsi="宋体" w:cs="仿宋"/>
                <w:color w:val="000000"/>
                <w:sz w:val="24"/>
                <w:szCs w:val="24"/>
              </w:rPr>
              <w:t>第三档次：进度控制监理措施科学性、合理性较差，措施不得当，针对性较差的，得0-1分。</w:t>
            </w:r>
          </w:p>
          <w:p>
            <w:pPr>
              <w:pStyle w:val="5"/>
              <w:contextualSpacing/>
              <w:jc w:val="left"/>
              <w:rPr>
                <w:rFonts w:ascii="宋体" w:hAnsi="宋体" w:cs="仿宋"/>
                <w:b/>
                <w:bCs/>
                <w:color w:val="000000"/>
                <w:sz w:val="24"/>
                <w:szCs w:val="24"/>
              </w:rPr>
            </w:pPr>
            <w:r>
              <w:rPr>
                <w:rFonts w:hint="eastAsia" w:ascii="宋体" w:hAnsi="宋体" w:cs="仿宋"/>
                <w:b/>
                <w:bCs/>
                <w:color w:val="000000"/>
                <w:sz w:val="24"/>
                <w:szCs w:val="24"/>
              </w:rPr>
              <w:t>2.3投资控制监理措施（满分6分）</w:t>
            </w:r>
          </w:p>
          <w:p>
            <w:pPr>
              <w:pStyle w:val="5"/>
              <w:contextualSpacing/>
              <w:jc w:val="left"/>
              <w:rPr>
                <w:rFonts w:ascii="宋体" w:hAnsi="宋体" w:cs="仿宋"/>
                <w:color w:val="000000"/>
                <w:sz w:val="24"/>
                <w:szCs w:val="24"/>
              </w:rPr>
            </w:pPr>
            <w:r>
              <w:rPr>
                <w:rFonts w:hint="eastAsia" w:ascii="宋体" w:hAnsi="宋体" w:cs="仿宋"/>
                <w:color w:val="000000"/>
                <w:sz w:val="24"/>
                <w:szCs w:val="24"/>
              </w:rPr>
              <w:t>第一档次：投资控制监理措施科学、合理具有先进性，措施得当，针对性强的，得4-6分；</w:t>
            </w:r>
          </w:p>
          <w:p>
            <w:pPr>
              <w:pStyle w:val="5"/>
              <w:contextualSpacing/>
              <w:jc w:val="left"/>
              <w:rPr>
                <w:rFonts w:ascii="宋体" w:hAnsi="宋体" w:cs="仿宋"/>
                <w:color w:val="000000"/>
                <w:sz w:val="24"/>
                <w:szCs w:val="24"/>
              </w:rPr>
            </w:pPr>
            <w:r>
              <w:rPr>
                <w:rFonts w:hint="eastAsia" w:ascii="宋体" w:hAnsi="宋体" w:cs="仿宋"/>
                <w:color w:val="000000"/>
                <w:sz w:val="24"/>
                <w:szCs w:val="24"/>
              </w:rPr>
              <w:t>第二档次：投资控制监理措施科学性、合理性一般，措施得当，针对性一般的，得</w:t>
            </w:r>
            <w:r>
              <w:rPr>
                <w:rFonts w:ascii="宋体" w:hAnsi="宋体" w:cs="仿宋"/>
                <w:color w:val="000000"/>
                <w:sz w:val="24"/>
                <w:szCs w:val="24"/>
              </w:rPr>
              <w:t>2</w:t>
            </w:r>
            <w:r>
              <w:rPr>
                <w:rFonts w:hint="eastAsia" w:ascii="宋体" w:hAnsi="宋体" w:cs="仿宋"/>
                <w:color w:val="000000"/>
                <w:sz w:val="24"/>
                <w:szCs w:val="24"/>
              </w:rPr>
              <w:t>-3分；</w:t>
            </w:r>
          </w:p>
          <w:p>
            <w:pPr>
              <w:pStyle w:val="5"/>
              <w:contextualSpacing/>
              <w:jc w:val="left"/>
              <w:rPr>
                <w:rFonts w:ascii="宋体" w:hAnsi="宋体" w:cs="仿宋"/>
                <w:color w:val="000000"/>
                <w:sz w:val="24"/>
                <w:szCs w:val="24"/>
              </w:rPr>
            </w:pPr>
            <w:r>
              <w:rPr>
                <w:rFonts w:hint="eastAsia" w:ascii="宋体" w:hAnsi="宋体" w:cs="仿宋"/>
                <w:color w:val="000000"/>
                <w:sz w:val="24"/>
                <w:szCs w:val="24"/>
              </w:rPr>
              <w:t>第三档次：投资控制监理措施科学性、合理性较差，措施不得当，针对性较差的，得0-1分。</w:t>
            </w:r>
          </w:p>
          <w:p>
            <w:pPr>
              <w:pStyle w:val="5"/>
              <w:contextualSpacing/>
              <w:jc w:val="left"/>
              <w:rPr>
                <w:rFonts w:ascii="宋体" w:hAnsi="宋体" w:cs="仿宋"/>
                <w:b/>
                <w:bCs/>
                <w:color w:val="000000"/>
                <w:sz w:val="24"/>
                <w:szCs w:val="24"/>
              </w:rPr>
            </w:pPr>
            <w:r>
              <w:rPr>
                <w:rFonts w:hint="eastAsia" w:ascii="宋体" w:hAnsi="宋体" w:cs="仿宋"/>
                <w:b/>
                <w:bCs/>
                <w:color w:val="000000"/>
                <w:sz w:val="24"/>
                <w:szCs w:val="24"/>
              </w:rPr>
              <w:t>2.4安全生产和文明施工监理措施（满分5分）</w:t>
            </w:r>
          </w:p>
          <w:p>
            <w:pPr>
              <w:pStyle w:val="5"/>
              <w:contextualSpacing/>
              <w:jc w:val="left"/>
              <w:rPr>
                <w:rFonts w:ascii="宋体" w:hAnsi="宋体" w:cs="仿宋"/>
                <w:color w:val="000000"/>
                <w:sz w:val="24"/>
                <w:szCs w:val="24"/>
              </w:rPr>
            </w:pPr>
            <w:r>
              <w:rPr>
                <w:rFonts w:hint="eastAsia" w:ascii="宋体" w:hAnsi="宋体" w:cs="仿宋"/>
                <w:color w:val="000000"/>
                <w:sz w:val="24"/>
                <w:szCs w:val="24"/>
              </w:rPr>
              <w:t>第一档次：安全生产和文明施工监理措施科学、合理具有先进性，措施得当，针对性强的，得</w:t>
            </w:r>
            <w:r>
              <w:rPr>
                <w:rFonts w:ascii="宋体" w:hAnsi="宋体" w:cs="仿宋"/>
                <w:color w:val="000000"/>
                <w:sz w:val="24"/>
                <w:szCs w:val="24"/>
              </w:rPr>
              <w:t>4</w:t>
            </w:r>
            <w:r>
              <w:rPr>
                <w:rFonts w:hint="eastAsia" w:ascii="宋体" w:hAnsi="宋体" w:cs="仿宋"/>
                <w:color w:val="000000"/>
                <w:sz w:val="24"/>
                <w:szCs w:val="24"/>
              </w:rPr>
              <w:t>-5分；</w:t>
            </w:r>
          </w:p>
          <w:p>
            <w:pPr>
              <w:pStyle w:val="5"/>
              <w:contextualSpacing/>
              <w:jc w:val="left"/>
              <w:rPr>
                <w:rFonts w:ascii="宋体" w:hAnsi="宋体" w:cs="仿宋"/>
                <w:color w:val="000000"/>
                <w:sz w:val="24"/>
                <w:szCs w:val="24"/>
              </w:rPr>
            </w:pPr>
            <w:r>
              <w:rPr>
                <w:rFonts w:hint="eastAsia" w:ascii="宋体" w:hAnsi="宋体" w:cs="仿宋"/>
                <w:color w:val="000000"/>
                <w:sz w:val="24"/>
                <w:szCs w:val="24"/>
              </w:rPr>
              <w:t>第二档次：安全生产和文明施工监理措施科学性、合理性一般，措施得当，针对性一般的，得</w:t>
            </w:r>
            <w:r>
              <w:rPr>
                <w:rFonts w:ascii="宋体" w:hAnsi="宋体" w:cs="仿宋"/>
                <w:color w:val="000000"/>
                <w:sz w:val="24"/>
                <w:szCs w:val="24"/>
              </w:rPr>
              <w:t>2</w:t>
            </w:r>
            <w:r>
              <w:rPr>
                <w:rFonts w:hint="eastAsia" w:ascii="宋体" w:hAnsi="宋体" w:cs="仿宋"/>
                <w:color w:val="000000"/>
                <w:sz w:val="24"/>
                <w:szCs w:val="24"/>
              </w:rPr>
              <w:t>-</w:t>
            </w:r>
            <w:r>
              <w:rPr>
                <w:rFonts w:ascii="宋体" w:hAnsi="宋体" w:cs="仿宋"/>
                <w:color w:val="000000"/>
                <w:sz w:val="24"/>
                <w:szCs w:val="24"/>
              </w:rPr>
              <w:t>3</w:t>
            </w:r>
            <w:r>
              <w:rPr>
                <w:rFonts w:hint="eastAsia" w:ascii="宋体" w:hAnsi="宋体" w:cs="仿宋"/>
                <w:color w:val="000000"/>
                <w:sz w:val="24"/>
                <w:szCs w:val="24"/>
              </w:rPr>
              <w:t>分；</w:t>
            </w:r>
          </w:p>
          <w:p>
            <w:pPr>
              <w:pStyle w:val="5"/>
              <w:contextualSpacing/>
              <w:jc w:val="left"/>
              <w:rPr>
                <w:rFonts w:ascii="宋体" w:hAnsi="宋体" w:cs="仿宋"/>
                <w:color w:val="000000"/>
                <w:sz w:val="24"/>
                <w:szCs w:val="24"/>
              </w:rPr>
            </w:pPr>
            <w:r>
              <w:rPr>
                <w:rFonts w:hint="eastAsia" w:ascii="宋体" w:hAnsi="宋体" w:cs="仿宋"/>
                <w:color w:val="000000"/>
                <w:sz w:val="24"/>
                <w:szCs w:val="24"/>
              </w:rPr>
              <w:t>第三档次：安全生产和文明施工监理措施科学性、合理性较差，措施不得当，针对性较差的，得0</w:t>
            </w:r>
            <w:r>
              <w:rPr>
                <w:rFonts w:ascii="宋体" w:hAnsi="宋体" w:cs="仿宋"/>
                <w:color w:val="000000"/>
                <w:sz w:val="24"/>
                <w:szCs w:val="24"/>
              </w:rPr>
              <w:t>-1</w:t>
            </w:r>
            <w:r>
              <w:rPr>
                <w:rFonts w:hint="eastAsia" w:ascii="宋体" w:hAnsi="宋体" w:cs="仿宋"/>
                <w:color w:val="000000"/>
                <w:sz w:val="24"/>
                <w:szCs w:val="24"/>
              </w:rPr>
              <w:t>分。（若近三年发生过一起安全生产事故本项不得分）</w:t>
            </w:r>
            <w:r>
              <w:rPr>
                <w:rFonts w:ascii="宋体" w:hAnsi="宋体"/>
                <w:snapToGrid w:val="0"/>
                <w:kern w:val="0"/>
                <w:sz w:val="24"/>
                <w:szCs w:val="24"/>
              </w:rPr>
              <w:fldChar w:fldCharType="begin"/>
            </w:r>
            <w:r>
              <w:rPr>
                <w:rFonts w:hint="eastAsia" w:ascii="宋体" w:hAnsi="宋体"/>
                <w:snapToGrid w:val="0"/>
                <w:kern w:val="0"/>
                <w:sz w:val="24"/>
                <w:szCs w:val="24"/>
              </w:rPr>
              <w:instrText xml:space="preserve">AUTOTEXT  input203 \* MERGEFORMAT</w:instrText>
            </w:r>
            <w:r>
              <w:rPr>
                <w:rFonts w:ascii="宋体" w:hAnsi="宋体"/>
                <w:snapToGrid w:val="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pPr>
              <w:adjustRightInd w:val="0"/>
              <w:snapToGrid w:val="0"/>
              <w:jc w:val="center"/>
              <w:rPr>
                <w:rFonts w:ascii="宋体" w:hAnsi="宋体" w:cs="华文仿宋"/>
                <w:b/>
                <w:sz w:val="24"/>
              </w:rPr>
            </w:pPr>
          </w:p>
        </w:tc>
        <w:tc>
          <w:tcPr>
            <w:tcW w:w="1134" w:type="dxa"/>
            <w:vMerge w:val="continue"/>
            <w:vAlign w:val="center"/>
          </w:tcPr>
          <w:p>
            <w:pPr>
              <w:adjustRightInd w:val="0"/>
              <w:snapToGrid w:val="0"/>
              <w:jc w:val="center"/>
              <w:rPr>
                <w:rFonts w:ascii="宋体" w:hAnsi="宋体" w:cs="华文仿宋"/>
                <w:b/>
                <w:sz w:val="24"/>
              </w:rPr>
            </w:pPr>
          </w:p>
        </w:tc>
        <w:tc>
          <w:tcPr>
            <w:tcW w:w="1521" w:type="dxa"/>
            <w:vAlign w:val="center"/>
          </w:tcPr>
          <w:p>
            <w:pPr>
              <w:adjustRightInd w:val="0"/>
              <w:snapToGrid w:val="0"/>
              <w:jc w:val="left"/>
              <w:rPr>
                <w:rFonts w:ascii="宋体" w:hAnsi="宋体" w:cs="华文仿宋"/>
                <w:sz w:val="24"/>
              </w:rPr>
            </w:pPr>
            <w:r>
              <w:rPr>
                <w:rFonts w:hint="eastAsia" w:ascii="宋体" w:hAnsi="宋体" w:cs="华文仿宋"/>
                <w:sz w:val="24"/>
              </w:rPr>
              <w:t>3</w:t>
            </w:r>
            <w:r>
              <w:rPr>
                <w:rFonts w:ascii="宋体" w:hAnsi="宋体" w:cs="华文仿宋"/>
                <w:sz w:val="24"/>
              </w:rPr>
              <w:t>.</w:t>
            </w:r>
            <w:r>
              <w:rPr>
                <w:rFonts w:hint="eastAsia" w:ascii="宋体" w:hAnsi="宋体" w:cs="华文仿宋"/>
                <w:sz w:val="24"/>
              </w:rPr>
              <w:t>拟派项目组成人员配置（满分</w:t>
            </w:r>
            <w:r>
              <w:rPr>
                <w:rFonts w:ascii="宋体" w:hAnsi="宋体" w:cs="华文仿宋"/>
                <w:sz w:val="24"/>
              </w:rPr>
              <w:t>25</w:t>
            </w:r>
            <w:r>
              <w:rPr>
                <w:rFonts w:hint="eastAsia" w:ascii="宋体" w:hAnsi="宋体" w:cs="华文仿宋"/>
                <w:sz w:val="24"/>
              </w:rPr>
              <w:t>分)</w:t>
            </w:r>
          </w:p>
        </w:tc>
        <w:tc>
          <w:tcPr>
            <w:tcW w:w="7013" w:type="dxa"/>
            <w:vAlign w:val="center"/>
          </w:tcPr>
          <w:p>
            <w:pPr>
              <w:pStyle w:val="2"/>
              <w:adjustRightInd w:val="0"/>
              <w:snapToGrid w:val="0"/>
              <w:ind w:firstLine="482"/>
              <w:rPr>
                <w:rFonts w:ascii="宋体" w:hAnsi="宋体"/>
                <w:b/>
                <w:bCs/>
                <w:sz w:val="24"/>
              </w:rPr>
            </w:pPr>
            <w:r>
              <w:rPr>
                <w:rFonts w:ascii="宋体" w:hAnsi="宋体"/>
                <w:b/>
                <w:bCs/>
                <w:sz w:val="24"/>
              </w:rPr>
              <w:t>3</w:t>
            </w:r>
            <w:r>
              <w:rPr>
                <w:rFonts w:hint="eastAsia" w:ascii="宋体" w:hAnsi="宋体"/>
                <w:b/>
                <w:bCs/>
                <w:sz w:val="24"/>
              </w:rPr>
              <w:t>.1总监理工程师（满分15分）</w:t>
            </w:r>
          </w:p>
          <w:p>
            <w:pPr>
              <w:pStyle w:val="5"/>
              <w:adjustRightInd w:val="0"/>
              <w:snapToGrid w:val="0"/>
              <w:jc w:val="left"/>
              <w:rPr>
                <w:rFonts w:ascii="宋体" w:hAnsi="宋体" w:cs="仿宋"/>
                <w:color w:val="000000"/>
                <w:sz w:val="24"/>
                <w:szCs w:val="24"/>
              </w:rPr>
            </w:pPr>
            <w:r>
              <w:rPr>
                <w:rFonts w:hint="eastAsia" w:ascii="宋体" w:hAnsi="宋体" w:cs="仿宋"/>
                <w:color w:val="000000"/>
                <w:sz w:val="24"/>
                <w:szCs w:val="24"/>
              </w:rPr>
              <w:t>（1）总监理工程师具备信息系统监理师的基础上，具有信息系统项目管理师、系统集成项目管理工程师、网络工程师、注册信息安全工程师（CISP）、信息安全保障人员认证证书（CISAW）具备其中1个证书加2分，最高加1</w:t>
            </w:r>
            <w:r>
              <w:rPr>
                <w:rFonts w:ascii="宋体" w:hAnsi="宋体" w:cs="仿宋"/>
                <w:color w:val="000000"/>
                <w:sz w:val="24"/>
                <w:szCs w:val="24"/>
              </w:rPr>
              <w:t>0</w:t>
            </w:r>
            <w:r>
              <w:rPr>
                <w:rFonts w:hint="eastAsia" w:ascii="宋体" w:hAnsi="宋体" w:cs="仿宋"/>
                <w:color w:val="000000"/>
                <w:sz w:val="24"/>
                <w:szCs w:val="24"/>
              </w:rPr>
              <w:t>分。</w:t>
            </w:r>
          </w:p>
          <w:p>
            <w:pPr>
              <w:pStyle w:val="5"/>
              <w:adjustRightInd w:val="0"/>
              <w:snapToGrid w:val="0"/>
              <w:jc w:val="left"/>
              <w:rPr>
                <w:rFonts w:ascii="宋体" w:hAnsi="宋体" w:cs="仿宋"/>
                <w:color w:val="000000"/>
                <w:sz w:val="24"/>
                <w:szCs w:val="24"/>
              </w:rPr>
            </w:pPr>
            <w:r>
              <w:rPr>
                <w:rFonts w:hint="eastAsia" w:ascii="宋体" w:hAnsi="宋体" w:cs="仿宋"/>
                <w:color w:val="000000"/>
                <w:sz w:val="24"/>
                <w:szCs w:val="24"/>
              </w:rPr>
              <w:t>（2）总监理工程师2021年至今的类似信息工程监理业绩，每增加1项类似业绩加1分，最多加</w:t>
            </w:r>
            <w:r>
              <w:rPr>
                <w:rFonts w:ascii="宋体" w:hAnsi="宋体" w:cs="仿宋"/>
                <w:color w:val="000000"/>
                <w:sz w:val="24"/>
                <w:szCs w:val="24"/>
              </w:rPr>
              <w:t>5</w:t>
            </w:r>
            <w:r>
              <w:rPr>
                <w:rFonts w:hint="eastAsia" w:ascii="宋体" w:hAnsi="宋体" w:cs="仿宋"/>
                <w:color w:val="000000"/>
                <w:sz w:val="24"/>
                <w:szCs w:val="24"/>
              </w:rPr>
              <w:t>分。</w:t>
            </w:r>
          </w:p>
          <w:p>
            <w:pPr>
              <w:pStyle w:val="5"/>
              <w:adjustRightInd w:val="0"/>
              <w:snapToGrid w:val="0"/>
              <w:jc w:val="left"/>
              <w:rPr>
                <w:rFonts w:ascii="宋体" w:hAnsi="宋体" w:cs="仿宋"/>
                <w:b/>
                <w:bCs/>
                <w:color w:val="000000"/>
                <w:sz w:val="24"/>
                <w:szCs w:val="24"/>
              </w:rPr>
            </w:pPr>
            <w:r>
              <w:rPr>
                <w:rFonts w:hint="eastAsia" w:ascii="宋体" w:hAnsi="宋体" w:cs="仿宋"/>
                <w:b/>
                <w:bCs/>
                <w:color w:val="000000"/>
                <w:sz w:val="24"/>
                <w:szCs w:val="24"/>
              </w:rPr>
              <w:t>注：</w:t>
            </w:r>
          </w:p>
          <w:p>
            <w:pPr>
              <w:pStyle w:val="5"/>
              <w:adjustRightInd w:val="0"/>
              <w:snapToGrid w:val="0"/>
              <w:jc w:val="left"/>
              <w:rPr>
                <w:rFonts w:ascii="宋体" w:hAnsi="宋体" w:cs="仿宋"/>
                <w:color w:val="000000"/>
                <w:sz w:val="24"/>
                <w:szCs w:val="24"/>
              </w:rPr>
            </w:pPr>
            <w:r>
              <w:rPr>
                <w:rFonts w:hint="eastAsia" w:ascii="宋体" w:hAnsi="宋体" w:cs="仿宋"/>
                <w:color w:val="000000"/>
                <w:sz w:val="24"/>
                <w:szCs w:val="24"/>
              </w:rPr>
              <w:t>（1）提供总监理工程师的</w:t>
            </w:r>
            <w:r>
              <w:rPr>
                <w:rFonts w:hint="eastAsia" w:ascii="宋体" w:hAnsi="宋体" w:cs="仿宋"/>
                <w:b/>
                <w:bCs/>
                <w:color w:val="000000"/>
                <w:sz w:val="24"/>
                <w:szCs w:val="24"/>
                <w:lang w:val="en-US" w:eastAsia="zh-CN"/>
              </w:rPr>
              <w:t>连续3个月</w:t>
            </w:r>
            <w:r>
              <w:rPr>
                <w:rFonts w:hint="eastAsia" w:ascii="宋体" w:hAnsi="宋体" w:cs="仿宋"/>
                <w:color w:val="000000"/>
                <w:sz w:val="24"/>
                <w:szCs w:val="24"/>
              </w:rPr>
              <w:t>社保证明和劳动合同的原件扫描件。</w:t>
            </w:r>
          </w:p>
          <w:p>
            <w:pPr>
              <w:adjustRightInd w:val="0"/>
              <w:snapToGrid w:val="0"/>
              <w:jc w:val="left"/>
              <w:rPr>
                <w:rFonts w:ascii="宋体" w:hAnsi="宋体" w:cs="仿宋"/>
                <w:color w:val="000000"/>
                <w:sz w:val="24"/>
                <w:szCs w:val="24"/>
              </w:rPr>
            </w:pPr>
            <w:r>
              <w:rPr>
                <w:rFonts w:hint="eastAsia" w:ascii="宋体" w:hAnsi="宋体" w:cs="仿宋"/>
                <w:color w:val="000000"/>
                <w:sz w:val="24"/>
                <w:szCs w:val="24"/>
              </w:rPr>
              <w:t>（2）业绩证明材料需提供中标通知书或合同协议书或业主证明材料的原件扫描件，并能清晰反映出总监理工程师姓名；未提供证明材料或证明材料不满足要求的不予认可。</w:t>
            </w:r>
          </w:p>
          <w:p>
            <w:pPr>
              <w:pStyle w:val="5"/>
              <w:adjustRightInd w:val="0"/>
              <w:snapToGrid w:val="0"/>
              <w:jc w:val="left"/>
              <w:rPr>
                <w:rFonts w:ascii="宋体" w:hAnsi="宋体" w:cs="仿宋"/>
                <w:color w:val="000000"/>
                <w:sz w:val="24"/>
                <w:szCs w:val="24"/>
              </w:rPr>
            </w:pPr>
            <w:r>
              <w:rPr>
                <w:rFonts w:ascii="宋体" w:hAnsi="宋体" w:cs="仿宋"/>
                <w:b/>
                <w:bCs/>
                <w:color w:val="000000"/>
                <w:sz w:val="24"/>
                <w:szCs w:val="24"/>
              </w:rPr>
              <w:t>3</w:t>
            </w:r>
            <w:r>
              <w:rPr>
                <w:rFonts w:hint="eastAsia" w:ascii="宋体" w:hAnsi="宋体" w:cs="仿宋"/>
                <w:b/>
                <w:bCs/>
                <w:color w:val="000000"/>
                <w:sz w:val="24"/>
                <w:szCs w:val="24"/>
              </w:rPr>
              <w:t>.2专业监理工程师（满分10分）</w:t>
            </w:r>
            <w:bookmarkStart w:id="1" w:name="_GoBack"/>
            <w:bookmarkEnd w:id="1"/>
          </w:p>
          <w:p>
            <w:pPr>
              <w:pStyle w:val="5"/>
              <w:adjustRightInd w:val="0"/>
              <w:snapToGrid w:val="0"/>
              <w:jc w:val="left"/>
              <w:rPr>
                <w:rFonts w:ascii="宋体" w:hAnsi="宋体" w:cs="仿宋"/>
                <w:color w:val="000000"/>
                <w:sz w:val="24"/>
                <w:szCs w:val="24"/>
              </w:rPr>
            </w:pPr>
            <w:r>
              <w:rPr>
                <w:rFonts w:hint="eastAsia" w:ascii="宋体" w:hAnsi="宋体" w:cs="仿宋"/>
                <w:color w:val="000000"/>
                <w:sz w:val="24"/>
                <w:szCs w:val="24"/>
              </w:rPr>
              <w:t>（1）项目组成员均具备</w:t>
            </w:r>
            <w:r>
              <w:rPr>
                <w:rFonts w:hint="eastAsia" w:ascii="宋体" w:hAnsi="宋体"/>
                <w:sz w:val="24"/>
                <w:szCs w:val="24"/>
              </w:rPr>
              <w:t>信息系统监理师证书基础上，同时具备</w:t>
            </w:r>
            <w:r>
              <w:rPr>
                <w:rFonts w:hint="eastAsia" w:ascii="宋体" w:hAnsi="宋体" w:cs="仿宋"/>
                <w:color w:val="000000"/>
                <w:sz w:val="24"/>
                <w:szCs w:val="24"/>
              </w:rPr>
              <w:t>信息系统项目管理师、网络工程师、系统集成项目管理工程师、系统规划与管理师、注册信息安全工程师（CISP）、信息安全保障人员认证证书（CISAW）、PMP项目管理人员证书、软件工程造价师证书、软件质量检验师（高级）、信息安全管理工程师（高级），每具备一项加1分，同类证书仅能加一次分，最多得10分。</w:t>
            </w:r>
          </w:p>
          <w:p>
            <w:pPr>
              <w:adjustRightInd w:val="0"/>
              <w:snapToGrid w:val="0"/>
              <w:jc w:val="left"/>
              <w:rPr>
                <w:rFonts w:hint="eastAsia" w:ascii="宋体" w:hAnsi="宋体" w:cs="仿宋"/>
                <w:color w:val="000000"/>
                <w:sz w:val="24"/>
                <w:szCs w:val="24"/>
              </w:rPr>
            </w:pPr>
            <w:r>
              <w:rPr>
                <w:rFonts w:hint="eastAsia" w:ascii="宋体" w:hAnsi="宋体" w:cs="仿宋"/>
                <w:b/>
                <w:bCs/>
                <w:color w:val="000000"/>
                <w:sz w:val="24"/>
                <w:szCs w:val="24"/>
              </w:rPr>
              <w:t>注：</w:t>
            </w:r>
            <w:r>
              <w:rPr>
                <w:rFonts w:hint="eastAsia" w:ascii="宋体" w:hAnsi="宋体" w:cs="仿宋"/>
                <w:color w:val="000000"/>
                <w:sz w:val="24"/>
                <w:szCs w:val="24"/>
              </w:rPr>
              <w:t>提供专业监理工程师的社保证明和劳动合同的原件扫描件。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pPr>
              <w:adjustRightInd w:val="0"/>
              <w:snapToGrid w:val="0"/>
              <w:jc w:val="center"/>
              <w:rPr>
                <w:rFonts w:ascii="宋体" w:hAnsi="宋体" w:cs="华文仿宋"/>
                <w:b/>
                <w:sz w:val="24"/>
              </w:rPr>
            </w:pPr>
          </w:p>
        </w:tc>
        <w:tc>
          <w:tcPr>
            <w:tcW w:w="1134" w:type="dxa"/>
            <w:vMerge w:val="continue"/>
            <w:vAlign w:val="center"/>
          </w:tcPr>
          <w:p>
            <w:pPr>
              <w:adjustRightInd w:val="0"/>
              <w:snapToGrid w:val="0"/>
              <w:jc w:val="center"/>
              <w:rPr>
                <w:rFonts w:ascii="宋体" w:hAnsi="宋体" w:cs="华文仿宋"/>
                <w:b/>
                <w:sz w:val="24"/>
              </w:rPr>
            </w:pPr>
          </w:p>
        </w:tc>
        <w:tc>
          <w:tcPr>
            <w:tcW w:w="1521" w:type="dxa"/>
            <w:vAlign w:val="center"/>
          </w:tcPr>
          <w:p>
            <w:pPr>
              <w:adjustRightInd w:val="0"/>
              <w:snapToGrid w:val="0"/>
              <w:jc w:val="left"/>
              <w:rPr>
                <w:rFonts w:ascii="宋体" w:hAnsi="宋体" w:cs="华文仿宋"/>
                <w:sz w:val="24"/>
              </w:rPr>
            </w:pPr>
            <w:r>
              <w:rPr>
                <w:rFonts w:ascii="宋体" w:hAnsi="宋体" w:cs="华文仿宋"/>
                <w:sz w:val="24"/>
              </w:rPr>
              <w:t>4</w:t>
            </w:r>
            <w:r>
              <w:rPr>
                <w:rFonts w:hint="eastAsia" w:ascii="宋体" w:hAnsi="宋体" w:cs="华文仿宋"/>
                <w:sz w:val="24"/>
              </w:rPr>
              <w:t>.</w:t>
            </w:r>
            <w:r>
              <w:rPr>
                <w:rFonts w:hint="eastAsia"/>
              </w:rPr>
              <w:t xml:space="preserve"> </w:t>
            </w:r>
            <w:bookmarkStart w:id="0" w:name="_Hlk127781819"/>
            <w:r>
              <w:rPr>
                <w:rFonts w:hint="eastAsia" w:ascii="宋体" w:hAnsi="宋体" w:cs="华文仿宋"/>
                <w:sz w:val="24"/>
              </w:rPr>
              <w:t>违约责任服务承诺</w:t>
            </w:r>
            <w:bookmarkEnd w:id="0"/>
            <w:r>
              <w:rPr>
                <w:rFonts w:hint="eastAsia" w:ascii="宋体" w:hAnsi="宋体" w:cs="华文仿宋"/>
                <w:sz w:val="24"/>
              </w:rPr>
              <w:t>（满分10分）</w:t>
            </w:r>
          </w:p>
        </w:tc>
        <w:tc>
          <w:tcPr>
            <w:tcW w:w="7013" w:type="dxa"/>
            <w:vAlign w:val="center"/>
          </w:tcPr>
          <w:p>
            <w:pPr>
              <w:adjustRightInd w:val="0"/>
              <w:snapToGrid w:val="0"/>
              <w:rPr>
                <w:rFonts w:ascii="宋体" w:hAnsi="宋体" w:cs="华文仿宋"/>
                <w:sz w:val="24"/>
              </w:rPr>
            </w:pPr>
            <w:r>
              <w:rPr>
                <w:rFonts w:hint="eastAsia" w:ascii="宋体" w:hAnsi="宋体" w:cs="华文仿宋"/>
                <w:sz w:val="24"/>
              </w:rPr>
              <w:t>第一档次：有具体的违约责任划分，有具体详细的违约承诺及处罚措施，措施科学性、合理性较好，措施得当，针对性强的得</w:t>
            </w:r>
            <w:r>
              <w:rPr>
                <w:rFonts w:ascii="宋体" w:hAnsi="宋体" w:cs="华文仿宋"/>
                <w:sz w:val="24"/>
              </w:rPr>
              <w:t>7</w:t>
            </w:r>
            <w:r>
              <w:rPr>
                <w:rFonts w:hint="eastAsia" w:ascii="宋体" w:hAnsi="宋体" w:cs="华文仿宋"/>
                <w:sz w:val="24"/>
              </w:rPr>
              <w:t>-10分；</w:t>
            </w:r>
          </w:p>
          <w:p>
            <w:pPr>
              <w:adjustRightInd w:val="0"/>
              <w:snapToGrid w:val="0"/>
              <w:rPr>
                <w:rFonts w:ascii="宋体" w:hAnsi="宋体" w:cs="华文仿宋"/>
                <w:sz w:val="24"/>
              </w:rPr>
            </w:pPr>
            <w:r>
              <w:rPr>
                <w:rFonts w:hint="eastAsia" w:ascii="宋体" w:hAnsi="宋体" w:cs="华文仿宋"/>
                <w:sz w:val="24"/>
              </w:rPr>
              <w:t>第二档次：违约责任服务承诺及处罚措施科学性、合理性一般，措施得当，针对性一般的，得</w:t>
            </w:r>
            <w:r>
              <w:rPr>
                <w:rFonts w:ascii="宋体" w:hAnsi="宋体" w:cs="华文仿宋"/>
                <w:sz w:val="24"/>
              </w:rPr>
              <w:t>4</w:t>
            </w:r>
            <w:r>
              <w:rPr>
                <w:rFonts w:hint="eastAsia" w:ascii="宋体" w:hAnsi="宋体" w:cs="华文仿宋"/>
                <w:sz w:val="24"/>
              </w:rPr>
              <w:t>-</w:t>
            </w:r>
            <w:r>
              <w:rPr>
                <w:rFonts w:ascii="宋体" w:hAnsi="宋体" w:cs="华文仿宋"/>
                <w:sz w:val="24"/>
              </w:rPr>
              <w:t>6</w:t>
            </w:r>
            <w:r>
              <w:rPr>
                <w:rFonts w:hint="eastAsia" w:ascii="宋体" w:hAnsi="宋体" w:cs="华文仿宋"/>
                <w:sz w:val="24"/>
              </w:rPr>
              <w:t>分；</w:t>
            </w:r>
          </w:p>
          <w:p>
            <w:pPr>
              <w:adjustRightInd w:val="0"/>
              <w:snapToGrid w:val="0"/>
              <w:jc w:val="left"/>
              <w:rPr>
                <w:rFonts w:ascii="宋体" w:hAnsi="宋体" w:cs="华文仿宋"/>
                <w:sz w:val="24"/>
              </w:rPr>
            </w:pPr>
            <w:r>
              <w:rPr>
                <w:rFonts w:hint="eastAsia" w:ascii="宋体" w:hAnsi="宋体" w:cs="华文仿宋"/>
                <w:sz w:val="24"/>
              </w:rPr>
              <w:t>第三档次：违约责任服务承诺及处罚措施科学性、合理性较差，措施不得当，针对性较差的，得0-</w:t>
            </w:r>
            <w:r>
              <w:rPr>
                <w:rFonts w:ascii="宋体" w:hAnsi="宋体" w:cs="华文仿宋"/>
                <w:sz w:val="24"/>
              </w:rPr>
              <w:t>3</w:t>
            </w:r>
            <w:r>
              <w:rPr>
                <w:rFonts w:hint="eastAsia" w:ascii="宋体" w:hAnsi="宋体" w:cs="华文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pPr>
              <w:adjustRightInd w:val="0"/>
              <w:snapToGrid w:val="0"/>
              <w:jc w:val="center"/>
              <w:rPr>
                <w:rFonts w:ascii="宋体" w:hAnsi="宋体" w:cs="华文仿宋"/>
                <w:b/>
                <w:sz w:val="24"/>
              </w:rPr>
            </w:pPr>
          </w:p>
        </w:tc>
        <w:tc>
          <w:tcPr>
            <w:tcW w:w="1134" w:type="dxa"/>
            <w:vMerge w:val="continue"/>
            <w:vAlign w:val="center"/>
          </w:tcPr>
          <w:p>
            <w:pPr>
              <w:adjustRightInd w:val="0"/>
              <w:snapToGrid w:val="0"/>
              <w:jc w:val="center"/>
              <w:rPr>
                <w:rFonts w:ascii="宋体" w:hAnsi="宋体" w:cs="华文仿宋"/>
                <w:b/>
                <w:sz w:val="24"/>
              </w:rPr>
            </w:pPr>
          </w:p>
        </w:tc>
        <w:tc>
          <w:tcPr>
            <w:tcW w:w="1521" w:type="dxa"/>
            <w:vAlign w:val="center"/>
          </w:tcPr>
          <w:p>
            <w:pPr>
              <w:adjustRightInd w:val="0"/>
              <w:snapToGrid w:val="0"/>
              <w:jc w:val="left"/>
              <w:rPr>
                <w:rFonts w:ascii="宋体" w:hAnsi="宋体" w:cs="华文仿宋"/>
                <w:sz w:val="24"/>
                <w:szCs w:val="24"/>
              </w:rPr>
            </w:pPr>
            <w:r>
              <w:rPr>
                <w:rFonts w:hint="eastAsia" w:ascii="宋体" w:hAnsi="宋体" w:cs="华文仿宋"/>
                <w:sz w:val="24"/>
                <w:szCs w:val="24"/>
              </w:rPr>
              <w:t>5</w:t>
            </w:r>
            <w:r>
              <w:rPr>
                <w:rFonts w:ascii="宋体" w:hAnsi="宋体" w:cs="华文仿宋"/>
                <w:sz w:val="24"/>
                <w:szCs w:val="24"/>
              </w:rPr>
              <w:t>.</w:t>
            </w:r>
            <w:r>
              <w:rPr>
                <w:rFonts w:hint="eastAsia"/>
              </w:rPr>
              <w:t xml:space="preserve"> </w:t>
            </w:r>
            <w:r>
              <w:rPr>
                <w:rFonts w:hint="eastAsia" w:ascii="宋体" w:hAnsi="宋体" w:cs="华文仿宋"/>
                <w:sz w:val="24"/>
                <w:szCs w:val="24"/>
              </w:rPr>
              <w:t>服务体系、规范化管理体系（满10分）</w:t>
            </w:r>
          </w:p>
        </w:tc>
        <w:tc>
          <w:tcPr>
            <w:tcW w:w="7013" w:type="dxa"/>
            <w:vAlign w:val="center"/>
          </w:tcPr>
          <w:p>
            <w:pPr>
              <w:adjustRightInd w:val="0"/>
              <w:snapToGrid w:val="0"/>
              <w:rPr>
                <w:rFonts w:ascii="宋体" w:hAnsi="宋体" w:cs="华文仿宋"/>
                <w:sz w:val="24"/>
              </w:rPr>
            </w:pPr>
            <w:r>
              <w:rPr>
                <w:rFonts w:hint="eastAsia" w:ascii="宋体" w:hAnsi="宋体" w:cs="华文仿宋"/>
                <w:sz w:val="24"/>
              </w:rPr>
              <w:t>（1）申请人具有信息系统工程监理服务标准贯标证书丁级或以上的得</w:t>
            </w:r>
            <w:r>
              <w:rPr>
                <w:rFonts w:ascii="宋体" w:hAnsi="宋体" w:cs="华文仿宋"/>
                <w:sz w:val="24"/>
              </w:rPr>
              <w:t>2</w:t>
            </w:r>
            <w:r>
              <w:rPr>
                <w:rFonts w:hint="eastAsia" w:ascii="宋体" w:hAnsi="宋体" w:cs="华文仿宋"/>
                <w:sz w:val="24"/>
              </w:rPr>
              <w:t>分，未提供不得分。</w:t>
            </w:r>
          </w:p>
          <w:p>
            <w:pPr>
              <w:adjustRightInd w:val="0"/>
              <w:snapToGrid w:val="0"/>
              <w:rPr>
                <w:rFonts w:ascii="宋体" w:hAnsi="宋体" w:cs="华文仿宋"/>
                <w:sz w:val="24"/>
              </w:rPr>
            </w:pPr>
            <w:r>
              <w:rPr>
                <w:rFonts w:hint="eastAsia" w:ascii="宋体" w:hAnsi="宋体" w:cs="华文仿宋"/>
                <w:sz w:val="24"/>
              </w:rPr>
              <w:t>（2）申请人具有ISO20000信息技术服务管理体系认证证书的得</w:t>
            </w:r>
            <w:r>
              <w:rPr>
                <w:rFonts w:ascii="宋体" w:hAnsi="宋体" w:cs="华文仿宋"/>
                <w:sz w:val="24"/>
              </w:rPr>
              <w:t>2</w:t>
            </w:r>
            <w:r>
              <w:rPr>
                <w:rFonts w:hint="eastAsia" w:ascii="宋体" w:hAnsi="宋体" w:cs="华文仿宋"/>
                <w:sz w:val="24"/>
              </w:rPr>
              <w:t>分，未提供不得分。</w:t>
            </w:r>
          </w:p>
          <w:p>
            <w:pPr>
              <w:adjustRightInd w:val="0"/>
              <w:snapToGrid w:val="0"/>
              <w:rPr>
                <w:rFonts w:ascii="宋体" w:hAnsi="宋体" w:cs="华文仿宋"/>
                <w:sz w:val="24"/>
              </w:rPr>
            </w:pPr>
            <w:r>
              <w:rPr>
                <w:rFonts w:hint="eastAsia" w:ascii="宋体" w:hAnsi="宋体" w:cs="华文仿宋"/>
                <w:sz w:val="24"/>
              </w:rPr>
              <w:t>（3）申请人具有ISO27001信息安全管理体系认证证书的得</w:t>
            </w:r>
            <w:r>
              <w:rPr>
                <w:rFonts w:ascii="宋体" w:hAnsi="宋体" w:cs="华文仿宋"/>
                <w:sz w:val="24"/>
              </w:rPr>
              <w:t>1</w:t>
            </w:r>
            <w:r>
              <w:rPr>
                <w:rFonts w:hint="eastAsia" w:ascii="宋体" w:hAnsi="宋体" w:cs="华文仿宋"/>
                <w:sz w:val="24"/>
              </w:rPr>
              <w:t>分，未提供不得分。</w:t>
            </w:r>
          </w:p>
          <w:p>
            <w:pPr>
              <w:adjustRightInd w:val="0"/>
              <w:snapToGrid w:val="0"/>
              <w:rPr>
                <w:rFonts w:ascii="宋体" w:hAnsi="宋体" w:cs="华文仿宋"/>
                <w:sz w:val="24"/>
              </w:rPr>
            </w:pPr>
            <w:r>
              <w:rPr>
                <w:rFonts w:hint="eastAsia" w:ascii="宋体" w:hAnsi="宋体" w:cs="华文仿宋"/>
                <w:sz w:val="24"/>
              </w:rPr>
              <w:t>（4）申请人具有ISO9001质量管理体系认证证书的得1分，未提供不得分。</w:t>
            </w:r>
          </w:p>
          <w:p>
            <w:pPr>
              <w:adjustRightInd w:val="0"/>
              <w:snapToGrid w:val="0"/>
              <w:rPr>
                <w:rFonts w:ascii="宋体" w:hAnsi="宋体" w:cs="华文仿宋"/>
                <w:sz w:val="24"/>
              </w:rPr>
            </w:pPr>
            <w:r>
              <w:rPr>
                <w:rFonts w:hint="eastAsia" w:ascii="宋体" w:hAnsi="宋体" w:cs="华文仿宋"/>
                <w:sz w:val="24"/>
              </w:rPr>
              <w:t>（5）申请人具有ISO45001职业健康安全管理体系认证证书的，得1分，未提供不得分。</w:t>
            </w:r>
          </w:p>
          <w:p>
            <w:pPr>
              <w:adjustRightInd w:val="0"/>
              <w:snapToGrid w:val="0"/>
              <w:rPr>
                <w:rFonts w:ascii="宋体" w:hAnsi="宋体" w:cs="华文仿宋"/>
                <w:sz w:val="24"/>
              </w:rPr>
            </w:pPr>
            <w:r>
              <w:rPr>
                <w:rFonts w:hint="eastAsia" w:ascii="宋体" w:hAnsi="宋体" w:cs="华文仿宋"/>
                <w:sz w:val="24"/>
              </w:rPr>
              <w:t>（6）申请人具有ISO14001环境管理体系认证证书的，得1分，未提供不得分。</w:t>
            </w:r>
          </w:p>
          <w:p>
            <w:pPr>
              <w:adjustRightInd w:val="0"/>
              <w:snapToGrid w:val="0"/>
              <w:rPr>
                <w:rFonts w:ascii="宋体" w:hAnsi="宋体" w:cs="华文仿宋"/>
                <w:sz w:val="24"/>
              </w:rPr>
            </w:pPr>
            <w:r>
              <w:rPr>
                <w:rFonts w:hint="eastAsia" w:ascii="宋体" w:hAnsi="宋体" w:cs="华文仿宋"/>
                <w:sz w:val="24"/>
              </w:rPr>
              <w:t>（</w:t>
            </w:r>
            <w:r>
              <w:rPr>
                <w:rFonts w:ascii="宋体" w:hAnsi="宋体" w:cs="华文仿宋"/>
                <w:sz w:val="24"/>
              </w:rPr>
              <w:t>7</w:t>
            </w:r>
            <w:r>
              <w:rPr>
                <w:rFonts w:hint="eastAsia" w:ascii="宋体" w:hAnsi="宋体" w:cs="华文仿宋"/>
                <w:sz w:val="24"/>
              </w:rPr>
              <w:t>）申请人具有CCRC信息安全风险评估证书的，得</w:t>
            </w:r>
            <w:r>
              <w:rPr>
                <w:rFonts w:ascii="宋体" w:hAnsi="宋体" w:cs="华文仿宋"/>
                <w:sz w:val="24"/>
              </w:rPr>
              <w:t>2</w:t>
            </w:r>
            <w:r>
              <w:rPr>
                <w:rFonts w:hint="eastAsia" w:ascii="宋体" w:hAnsi="宋体" w:cs="华文仿宋"/>
                <w:sz w:val="24"/>
              </w:rPr>
              <w:t>分，未提供不得分。</w:t>
            </w:r>
          </w:p>
          <w:p>
            <w:pPr>
              <w:adjustRightInd w:val="0"/>
              <w:snapToGrid w:val="0"/>
              <w:rPr>
                <w:rFonts w:ascii="宋体" w:hAnsi="宋体" w:cs="华文仿宋"/>
                <w:sz w:val="24"/>
              </w:rPr>
            </w:pPr>
            <w:r>
              <w:rPr>
                <w:rFonts w:hint="eastAsia" w:ascii="宋体" w:hAnsi="宋体" w:cs="华文仿宋"/>
                <w:sz w:val="24"/>
              </w:rPr>
              <w:t>注：证书要求在有效期内，最多得10分。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pPr>
              <w:adjustRightInd w:val="0"/>
              <w:snapToGrid w:val="0"/>
              <w:jc w:val="center"/>
              <w:rPr>
                <w:rFonts w:ascii="宋体" w:hAnsi="宋体" w:cs="华文仿宋"/>
                <w:b/>
                <w:sz w:val="24"/>
              </w:rPr>
            </w:pPr>
          </w:p>
        </w:tc>
        <w:tc>
          <w:tcPr>
            <w:tcW w:w="1134" w:type="dxa"/>
            <w:vMerge w:val="continue"/>
            <w:vAlign w:val="center"/>
          </w:tcPr>
          <w:p>
            <w:pPr>
              <w:adjustRightInd w:val="0"/>
              <w:snapToGrid w:val="0"/>
              <w:jc w:val="center"/>
              <w:rPr>
                <w:rFonts w:ascii="宋体" w:hAnsi="宋体" w:cs="华文仿宋"/>
                <w:b/>
                <w:sz w:val="24"/>
              </w:rPr>
            </w:pPr>
          </w:p>
        </w:tc>
        <w:tc>
          <w:tcPr>
            <w:tcW w:w="1521" w:type="dxa"/>
            <w:vAlign w:val="center"/>
          </w:tcPr>
          <w:p>
            <w:pPr>
              <w:adjustRightInd w:val="0"/>
              <w:snapToGrid w:val="0"/>
              <w:jc w:val="left"/>
              <w:rPr>
                <w:rFonts w:ascii="宋体" w:hAnsi="宋体" w:cs="华文仿宋"/>
                <w:sz w:val="24"/>
              </w:rPr>
            </w:pPr>
            <w:r>
              <w:rPr>
                <w:rFonts w:hint="eastAsia" w:ascii="宋体" w:hAnsi="宋体" w:cs="华文仿宋"/>
                <w:sz w:val="24"/>
              </w:rPr>
              <w:t>6</w:t>
            </w:r>
            <w:r>
              <w:rPr>
                <w:rFonts w:ascii="宋体" w:hAnsi="宋体" w:cs="华文仿宋"/>
                <w:sz w:val="24"/>
              </w:rPr>
              <w:t>.</w:t>
            </w:r>
            <w:r>
              <w:rPr>
                <w:rFonts w:hint="eastAsia" w:ascii="宋体" w:hAnsi="宋体" w:cs="华文仿宋"/>
                <w:sz w:val="24"/>
              </w:rPr>
              <w:t>类似项目业绩（满分5分）</w:t>
            </w:r>
          </w:p>
        </w:tc>
        <w:tc>
          <w:tcPr>
            <w:tcW w:w="7013" w:type="dxa"/>
            <w:vAlign w:val="center"/>
          </w:tcPr>
          <w:p>
            <w:pPr>
              <w:adjustRightInd w:val="0"/>
              <w:snapToGrid w:val="0"/>
              <w:jc w:val="left"/>
              <w:rPr>
                <w:rFonts w:ascii="宋体" w:hAnsi="宋体" w:cs="华文仿宋"/>
                <w:sz w:val="24"/>
              </w:rPr>
            </w:pPr>
            <w:r>
              <w:rPr>
                <w:rFonts w:hint="eastAsia" w:ascii="宋体" w:hAnsi="宋体" w:cs="华文仿宋"/>
                <w:sz w:val="24"/>
              </w:rPr>
              <w:t>近三年内，企业完成过1项类似信息化项目监理业绩（应附中标通知书或合同协议书或业主证明材料的原件扫描件）得1分，每增加1项加1分，加至满分为止。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7" w:type="dxa"/>
            <w:gridSpan w:val="4"/>
            <w:vAlign w:val="center"/>
          </w:tcPr>
          <w:p>
            <w:pPr>
              <w:adjustRightInd w:val="0"/>
              <w:snapToGrid w:val="0"/>
              <w:jc w:val="center"/>
              <w:rPr>
                <w:rFonts w:ascii="宋体" w:hAnsi="宋体" w:cs="华文仿宋"/>
                <w:b/>
                <w:sz w:val="24"/>
              </w:rPr>
            </w:pPr>
            <w:r>
              <w:rPr>
                <w:rFonts w:hint="eastAsia" w:ascii="宋体" w:hAnsi="宋体" w:cs="华文仿宋"/>
                <w:b/>
                <w:sz w:val="24"/>
              </w:rPr>
              <w:t>评标总得分为各项得分加和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D7280"/>
    <w:rsid w:val="299005FB"/>
    <w:rsid w:val="354C2D9B"/>
    <w:rsid w:val="3C4D7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customStyle="1" w:styleId="5">
    <w:name w:val="Normal_1"/>
    <w:next w:val="1"/>
    <w:qFormat/>
    <w:uiPriority w:val="0"/>
    <w:pPr>
      <w:widowControl w:val="0"/>
      <w:jc w:val="both"/>
    </w:pPr>
    <w:rPr>
      <w:rFonts w:ascii="Calibri" w:hAnsi="Calibri"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2024-12-13T02:46:00Z</dcterms:created>
  <dc:creator>Administrator</dc:creator>
  <cp:lastModifiedBy>Administrator</cp:lastModifiedBy>
  <dcterms:modified xsi:type="dcterms:W3CDTF">2024-12-13T09:28:31Z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315FF9ED6ADE4354BD921EAC5E05AC69</vt:lpwstr>
  </property>
</Properties>
</file>