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核医学科新建场所布局规划和防护设施设计服务项目需求</w:t>
      </w:r>
    </w:p>
    <w:p>
      <w:pPr>
        <w:ind w:firstLine="643" w:firstLineChars="200"/>
        <w:rPr>
          <w:rFonts w:hint="eastAsia" w:ascii="仿宋" w:hAnsi="仿宋" w:eastAsia="仿宋" w:cs="仿宋"/>
          <w:b/>
          <w:bCs w:val="0"/>
          <w:sz w:val="32"/>
          <w:szCs w:val="32"/>
          <w:highlight w:val="none"/>
          <w:lang w:val="en-US" w:eastAsia="zh-CN"/>
        </w:rPr>
      </w:pPr>
      <w:r>
        <w:rPr>
          <w:rFonts w:hint="eastAsia" w:ascii="黑体" w:hAnsi="黑体" w:eastAsia="黑体" w:cs="黑体"/>
          <w:b/>
          <w:bCs w:val="0"/>
          <w:sz w:val="32"/>
          <w:szCs w:val="32"/>
          <w:lang w:val="en-US" w:eastAsia="zh-CN"/>
        </w:rPr>
        <w:t>一、项目背景</w:t>
      </w:r>
    </w:p>
    <w:p>
      <w:pPr>
        <w:ind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为</w:t>
      </w:r>
      <w:r>
        <w:rPr>
          <w:rFonts w:hint="eastAsia" w:ascii="方正仿宋_GBK" w:hAnsi="方正仿宋_GBK" w:eastAsia="方正仿宋_GBK" w:cs="方正仿宋_GBK"/>
          <w:b w:val="0"/>
          <w:bCs w:val="0"/>
          <w:color w:val="auto"/>
          <w:sz w:val="32"/>
          <w:szCs w:val="32"/>
          <w:highlight w:val="none"/>
          <w:lang w:val="en-US" w:eastAsia="zh-CN"/>
        </w:rPr>
        <w:t>满足医院核医学</w:t>
      </w:r>
      <w:bookmarkStart w:id="0" w:name="_GoBack"/>
      <w:bookmarkEnd w:id="0"/>
      <w:r>
        <w:rPr>
          <w:rFonts w:hint="eastAsia" w:ascii="方正仿宋_GBK" w:hAnsi="方正仿宋_GBK" w:eastAsia="方正仿宋_GBK" w:cs="方正仿宋_GBK"/>
          <w:b w:val="0"/>
          <w:bCs w:val="0"/>
          <w:color w:val="auto"/>
          <w:sz w:val="32"/>
          <w:szCs w:val="32"/>
          <w:highlight w:val="none"/>
          <w:lang w:val="en-US" w:eastAsia="zh-CN"/>
        </w:rPr>
        <w:t>科建设需求，我院拟改建符合国家标准的核医学科场所，现公开遴选具备资质的机构开展核医学科新建场所布局规划和施工图设计技术服务机构，确保项目在规划、建设和运营过程中符合国家相关法律法规及行业标准。</w:t>
      </w:r>
    </w:p>
    <w:p>
      <w:pPr>
        <w:ind w:firstLine="643" w:firstLineChars="200"/>
        <w:rPr>
          <w:rFonts w:hint="eastAsia" w:ascii="仿宋" w:hAnsi="仿宋" w:eastAsia="仿宋" w:cs="仿宋"/>
          <w:b/>
          <w:bCs w:val="0"/>
          <w:color w:val="auto"/>
          <w:sz w:val="32"/>
          <w:szCs w:val="32"/>
          <w:lang w:val="en-US" w:eastAsia="zh-CN"/>
        </w:rPr>
      </w:pPr>
      <w:r>
        <w:rPr>
          <w:rFonts w:hint="eastAsia" w:ascii="黑体" w:hAnsi="黑体" w:eastAsia="黑体" w:cs="黑体"/>
          <w:b/>
          <w:bCs w:val="0"/>
          <w:sz w:val="32"/>
          <w:szCs w:val="32"/>
          <w:lang w:val="en-US" w:eastAsia="zh-CN"/>
        </w:rPr>
        <w:t>二、服务范围</w:t>
      </w:r>
    </w:p>
    <w:p>
      <w:pPr>
        <w:ind w:firstLine="640" w:firstLineChars="200"/>
        <w:rPr>
          <w:rFonts w:hint="eastAsia" w:ascii="仿宋" w:hAnsi="仿宋" w:eastAsia="仿宋" w:cs="仿宋"/>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根据《昆明医科大学第二附属医院核医学科新建场所核素种类和用量规划》（详见附件1）开展以下规划设计：</w:t>
      </w:r>
    </w:p>
    <w:p>
      <w:pPr>
        <w:numPr>
          <w:ilvl w:val="0"/>
          <w:numId w:val="1"/>
        </w:numPr>
        <w:ind w:firstLine="640" w:firstLineChars="200"/>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项目选址</w:t>
      </w:r>
    </w:p>
    <w:p>
      <w:pPr>
        <w:ind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结合我院前期已开展的选址工作，对拟选定项目建设地点，从放射卫生、辐射安全、施工可行性（如与敏感区域的距离、建筑结构承重能力）等方面进行综合评估，向医院提交选址意见。</w:t>
      </w:r>
    </w:p>
    <w:p>
      <w:pPr>
        <w:numPr>
          <w:ilvl w:val="0"/>
          <w:numId w:val="1"/>
        </w:numPr>
        <w:ind w:firstLine="640" w:firstLineChars="200"/>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场所布局规划与设计</w:t>
      </w:r>
    </w:p>
    <w:p>
      <w:pPr>
        <w:ind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根据国家放射卫生与辐射安全相关法律、法规、标准，及云南相关监管部门行政许可及监管要求，对项目开展平面设计。并结合核医学科核素使用需求，开展平面布局图设计工作，对核医学科核素选择与落地提供可行的方案。</w:t>
      </w:r>
    </w:p>
    <w:p>
      <w:pPr>
        <w:ind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2、平面布局确定后，结合现场情况，开展施工图设计，并提交以下专业图纸：</w:t>
      </w:r>
    </w:p>
    <w:p>
      <w:pPr>
        <w:ind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2.1建筑（防护）专业：</w:t>
      </w:r>
    </w:p>
    <w:p>
      <w:pPr>
        <w:ind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设计总说明、各层防护平面图、流线设计平面图、衰变池平面、剖面图、节点大样图等）；</w:t>
      </w:r>
      <w:r>
        <w:rPr>
          <w:rFonts w:hint="eastAsia" w:ascii="方正仿宋_GBK" w:hAnsi="方正仿宋_GBK" w:eastAsia="方正仿宋_GBK" w:cs="方正仿宋_GBK"/>
          <w:b w:val="0"/>
          <w:bCs w:val="0"/>
          <w:color w:val="auto"/>
          <w:sz w:val="32"/>
          <w:szCs w:val="32"/>
          <w:highlight w:val="none"/>
          <w:lang w:val="en-US" w:eastAsia="zh-CN"/>
        </w:rPr>
        <w:br w:type="textWrapping"/>
      </w:r>
      <w:r>
        <w:rPr>
          <w:rFonts w:hint="eastAsia" w:ascii="方正仿宋_GBK" w:hAnsi="方正仿宋_GBK" w:eastAsia="方正仿宋_GBK" w:cs="方正仿宋_GBK"/>
          <w:b w:val="0"/>
          <w:bCs w:val="0"/>
          <w:color w:val="auto"/>
          <w:sz w:val="32"/>
          <w:szCs w:val="32"/>
          <w:highlight w:val="none"/>
          <w:lang w:val="en-US" w:eastAsia="zh-CN"/>
        </w:rPr>
        <w:t xml:space="preserve">    2.2结构专业（不含结构加固设计）：</w:t>
      </w:r>
    </w:p>
    <w:p>
      <w:pPr>
        <w:ind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 xml:space="preserve">结构设计总说明、防护墙平面布置图、衰变池配筋图、预留洞加强大样图、节点大样图。 </w:t>
      </w:r>
      <w:r>
        <w:rPr>
          <w:rFonts w:hint="eastAsia" w:ascii="方正仿宋_GBK" w:hAnsi="方正仿宋_GBK" w:eastAsia="方正仿宋_GBK" w:cs="方正仿宋_GBK"/>
          <w:b w:val="0"/>
          <w:bCs w:val="0"/>
          <w:color w:val="auto"/>
          <w:sz w:val="32"/>
          <w:szCs w:val="32"/>
          <w:highlight w:val="none"/>
          <w:lang w:val="en-US" w:eastAsia="zh-CN"/>
        </w:rPr>
        <w:br w:type="textWrapping"/>
      </w:r>
      <w:r>
        <w:rPr>
          <w:rFonts w:hint="eastAsia" w:ascii="方正仿宋_GBK" w:hAnsi="方正仿宋_GBK" w:eastAsia="方正仿宋_GBK" w:cs="方正仿宋_GBK"/>
          <w:b w:val="0"/>
          <w:bCs w:val="0"/>
          <w:color w:val="auto"/>
          <w:sz w:val="32"/>
          <w:szCs w:val="32"/>
          <w:highlight w:val="none"/>
          <w:lang w:val="en-US" w:eastAsia="zh-CN"/>
        </w:rPr>
        <w:t xml:space="preserve">    2.3电气专业：</w:t>
      </w:r>
    </w:p>
    <w:p>
      <w:pPr>
        <w:ind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设计说明及主要设备材料表、配电箱系统图、电气、照明、接地平面布置图、自动控制系统图、插座、空调设备配电平面图等。</w:t>
      </w:r>
    </w:p>
    <w:p>
      <w:pPr>
        <w:ind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2.4给排水专业：</w:t>
      </w:r>
    </w:p>
    <w:p>
      <w:pPr>
        <w:ind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设计计说明、给排水平面、系统图，衰变池废液进水平面布置图、废液出水平面布置图、剖面图、总平面图。</w:t>
      </w:r>
    </w:p>
    <w:p>
      <w:pPr>
        <w:ind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2.5暖通专业：</w:t>
      </w:r>
    </w:p>
    <w:p>
      <w:pPr>
        <w:ind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设计说明、主要设备材料表、暖通平面图、衰变池暖通排风平面。</w:t>
      </w:r>
    </w:p>
    <w:p>
      <w:pPr>
        <w:ind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2.6室内装饰：</w:t>
      </w:r>
    </w:p>
    <w:p>
      <w:pPr>
        <w:ind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设计与施工说明、装饰做法表、装饰材料表、平面系统图（平面布置图、顶面布置图、顶面综合点位图、地面布置图）、立面图、节点大样图。</w:t>
      </w:r>
    </w:p>
    <w:p>
      <w:pPr>
        <w:ind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2.7弱电专业：</w:t>
      </w:r>
    </w:p>
    <w:p>
      <w:pPr>
        <w:ind w:firstLine="640" w:firstLineChars="200"/>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设计总说明、综合布线平面图、对讲、排队叫号、辐射监测设备点位布置图、安防平面图、内网、外网、无线AP综合布线系统图、视频监控及报警、门禁控制系统图等。</w:t>
      </w:r>
    </w:p>
    <w:p>
      <w:pPr>
        <w:ind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2.8放射性废物管理：设计专用衰变池及废物暂存设施，符合《医用放射性废物管理规范》。</w:t>
      </w:r>
    </w:p>
    <w:p>
      <w:pPr>
        <w:ind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3、设备安装规划</w:t>
      </w:r>
    </w:p>
    <w:p>
      <w:pPr>
        <w:ind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大型设备（如SPET-CT），设计需预留未来扩展空间（如新增设备或诊疗项目）。</w:t>
      </w:r>
    </w:p>
    <w:p>
      <w:pPr>
        <w:ind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4、环评与职业健康防护</w:t>
      </w:r>
    </w:p>
    <w:p>
      <w:pPr>
        <w:ind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协助编制环境影响评价报告（含辐射环境影响专项）。设计医护人员个人防护方案（如防护用品配置、剂量监测制度）。</w:t>
      </w:r>
    </w:p>
    <w:p>
      <w:pPr>
        <w:ind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5、交付成果</w:t>
      </w:r>
    </w:p>
    <w:p>
      <w:pPr>
        <w:ind w:firstLine="640" w:firstLineChars="200"/>
        <w:rPr>
          <w:rFonts w:hint="eastAsia" w:ascii="方正仿宋_GBK" w:hAnsi="方正仿宋_GBK" w:eastAsia="方正仿宋_GBK" w:cs="方正仿宋_GBK"/>
          <w:b w:val="0"/>
          <w:bCs w:val="0"/>
          <w:color w:val="auto"/>
          <w:sz w:val="32"/>
          <w:szCs w:val="32"/>
          <w:highlight w:val="yellow"/>
          <w:lang w:val="en-US" w:eastAsia="zh-CN"/>
        </w:rPr>
      </w:pPr>
      <w:r>
        <w:rPr>
          <w:rFonts w:hint="eastAsia" w:ascii="方正仿宋_GBK" w:hAnsi="方正仿宋_GBK" w:eastAsia="方正仿宋_GBK" w:cs="方正仿宋_GBK"/>
          <w:b w:val="0"/>
          <w:bCs w:val="0"/>
          <w:color w:val="auto"/>
          <w:sz w:val="32"/>
          <w:szCs w:val="32"/>
          <w:highlight w:val="none"/>
          <w:lang w:val="en-US" w:eastAsia="zh-CN"/>
        </w:rPr>
        <w:t>符合现行国家规范、标准、行业及文件相关质量要求设计方案。</w:t>
      </w:r>
    </w:p>
    <w:p>
      <w:pPr>
        <w:rPr>
          <w:rFonts w:hint="eastAsia" w:ascii="黑体" w:hAnsi="黑体" w:eastAsia="黑体" w:cs="黑体"/>
          <w:b w:val="0"/>
          <w:bCs w:val="0"/>
          <w:color w:val="auto"/>
          <w:sz w:val="32"/>
          <w:szCs w:val="32"/>
          <w:highlight w:val="yellow"/>
          <w:lang w:val="en-US" w:eastAsia="zh-CN"/>
        </w:rPr>
      </w:pPr>
      <w:r>
        <w:rPr>
          <w:rFonts w:hint="eastAsia" w:ascii="黑体" w:hAnsi="黑体" w:eastAsia="黑体" w:cs="黑体"/>
          <w:b w:val="0"/>
          <w:bCs w:val="0"/>
          <w:color w:val="auto"/>
          <w:sz w:val="32"/>
          <w:szCs w:val="32"/>
          <w:highlight w:val="yellow"/>
          <w:lang w:val="en-US" w:eastAsia="zh-CN"/>
        </w:rPr>
        <w:br w:type="page"/>
      </w:r>
    </w:p>
    <w:p>
      <w:pPr>
        <w:numPr>
          <w:ilvl w:val="0"/>
          <w:numId w:val="0"/>
        </w:numPr>
        <w:ind w:firstLine="640" w:firstLineChars="200"/>
        <w:rPr>
          <w:rFonts w:hint="eastAsia" w:ascii="黑体" w:hAnsi="黑体" w:eastAsia="黑体" w:cs="黑体"/>
          <w:b w:val="0"/>
          <w:bCs w:val="0"/>
          <w:color w:val="auto"/>
          <w:sz w:val="32"/>
          <w:szCs w:val="32"/>
          <w:highlight w:val="yellow"/>
          <w:lang w:val="en-US" w:eastAsia="zh-CN"/>
        </w:rPr>
      </w:pPr>
      <w:r>
        <w:rPr>
          <w:rFonts w:hint="eastAsia" w:ascii="黑体" w:hAnsi="黑体" w:eastAsia="黑体" w:cs="黑体"/>
          <w:b w:val="0"/>
          <w:bCs w:val="0"/>
          <w:color w:val="auto"/>
          <w:sz w:val="32"/>
          <w:szCs w:val="32"/>
          <w:highlight w:val="none"/>
          <w:lang w:val="en-US" w:eastAsia="zh-CN"/>
        </w:rPr>
        <w:t>评分标准</w:t>
      </w:r>
    </w:p>
    <w:tbl>
      <w:tblPr>
        <w:tblStyle w:val="7"/>
        <w:tblW w:w="9174" w:type="dxa"/>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529"/>
        <w:gridCol w:w="5826"/>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73" w:type="dxa"/>
          </w:tcPr>
          <w:p>
            <w:pPr>
              <w:numPr>
                <w:ilvl w:val="0"/>
                <w:numId w:val="0"/>
              </w:numPr>
              <w:jc w:val="center"/>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序号</w:t>
            </w:r>
          </w:p>
        </w:tc>
        <w:tc>
          <w:tcPr>
            <w:tcW w:w="1529" w:type="dxa"/>
          </w:tcPr>
          <w:p>
            <w:pPr>
              <w:numPr>
                <w:ilvl w:val="0"/>
                <w:numId w:val="0"/>
              </w:numPr>
              <w:jc w:val="center"/>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评分项</w:t>
            </w:r>
          </w:p>
        </w:tc>
        <w:tc>
          <w:tcPr>
            <w:tcW w:w="5826" w:type="dxa"/>
          </w:tcPr>
          <w:p>
            <w:pPr>
              <w:numPr>
                <w:ilvl w:val="0"/>
                <w:numId w:val="0"/>
              </w:numPr>
              <w:jc w:val="center"/>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评分标准</w:t>
            </w:r>
          </w:p>
        </w:tc>
        <w:tc>
          <w:tcPr>
            <w:tcW w:w="946" w:type="dxa"/>
          </w:tcPr>
          <w:p>
            <w:pPr>
              <w:numPr>
                <w:ilvl w:val="0"/>
                <w:numId w:val="0"/>
              </w:numPr>
              <w:jc w:val="center"/>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73" w:type="dxa"/>
            <w:shd w:val="clear" w:color="auto" w:fill="auto"/>
            <w:vAlign w:val="center"/>
          </w:tcPr>
          <w:p>
            <w:pPr>
              <w:numPr>
                <w:ilvl w:val="0"/>
                <w:numId w:val="0"/>
              </w:numPr>
              <w:ind w:left="0" w:leftChars="0" w:firstLine="0" w:firstLineChars="0"/>
              <w:jc w:val="center"/>
              <w:rPr>
                <w:rFonts w:hint="eastAsia" w:ascii="方正仿宋_GBK" w:hAnsi="方正仿宋_GBK" w:eastAsia="方正仿宋_GBK" w:cs="方正仿宋_GBK"/>
                <w:b w:val="0"/>
                <w:bCs w:val="0"/>
                <w:color w:val="auto"/>
                <w:kern w:val="2"/>
                <w:sz w:val="28"/>
                <w:szCs w:val="28"/>
                <w:highlight w:val="none"/>
                <w:vertAlign w:val="baseline"/>
                <w:lang w:val="en-US" w:eastAsia="zh-CN" w:bidi="ar-SA"/>
              </w:rPr>
            </w:pPr>
            <w:r>
              <w:rPr>
                <w:rFonts w:hint="eastAsia" w:ascii="方正仿宋_GBK" w:hAnsi="方正仿宋_GBK" w:eastAsia="方正仿宋_GBK" w:cs="方正仿宋_GBK"/>
                <w:b w:val="0"/>
                <w:bCs w:val="0"/>
                <w:color w:val="auto"/>
                <w:sz w:val="28"/>
                <w:szCs w:val="28"/>
                <w:highlight w:val="none"/>
                <w:vertAlign w:val="baseline"/>
                <w:lang w:val="en-US" w:eastAsia="zh-CN"/>
              </w:rPr>
              <w:t>1</w:t>
            </w:r>
          </w:p>
        </w:tc>
        <w:tc>
          <w:tcPr>
            <w:tcW w:w="1529" w:type="dxa"/>
            <w:shd w:val="clear" w:color="auto" w:fill="auto"/>
            <w:vAlign w:val="center"/>
          </w:tcPr>
          <w:p>
            <w:pPr>
              <w:numPr>
                <w:ilvl w:val="0"/>
                <w:numId w:val="0"/>
              </w:numPr>
              <w:ind w:left="0" w:leftChars="0" w:firstLine="0" w:firstLineChars="0"/>
              <w:jc w:val="center"/>
              <w:rPr>
                <w:rFonts w:hint="eastAsia" w:ascii="方正仿宋_GBK" w:hAnsi="方正仿宋_GBK" w:eastAsia="方正仿宋_GBK" w:cs="方正仿宋_GBK"/>
                <w:b w:val="0"/>
                <w:bCs w:val="0"/>
                <w:color w:val="auto"/>
                <w:kern w:val="2"/>
                <w:sz w:val="28"/>
                <w:szCs w:val="28"/>
                <w:highlight w:val="none"/>
                <w:vertAlign w:val="baseline"/>
                <w:lang w:val="en-US" w:eastAsia="zh-CN" w:bidi="ar-SA"/>
              </w:rPr>
            </w:pPr>
            <w:r>
              <w:rPr>
                <w:rFonts w:hint="eastAsia" w:ascii="方正仿宋_GBK" w:hAnsi="方正仿宋_GBK" w:eastAsia="方正仿宋_GBK" w:cs="方正仿宋_GBK"/>
                <w:b w:val="0"/>
                <w:bCs w:val="0"/>
                <w:color w:val="auto"/>
                <w:sz w:val="28"/>
                <w:szCs w:val="28"/>
                <w:highlight w:val="none"/>
                <w:vertAlign w:val="baseline"/>
                <w:lang w:val="en-US" w:eastAsia="zh-CN"/>
              </w:rPr>
              <w:t>报价</w:t>
            </w:r>
          </w:p>
        </w:tc>
        <w:tc>
          <w:tcPr>
            <w:tcW w:w="5826" w:type="dxa"/>
            <w:shd w:val="clear" w:color="auto" w:fill="auto"/>
            <w:vAlign w:val="center"/>
          </w:tcPr>
          <w:p>
            <w:pPr>
              <w:numPr>
                <w:ilvl w:val="0"/>
                <w:numId w:val="0"/>
              </w:numPr>
              <w:ind w:left="0" w:leftChars="0" w:firstLine="0" w:firstLineChars="0"/>
              <w:jc w:val="left"/>
              <w:rPr>
                <w:rFonts w:hint="default" w:ascii="方正仿宋_GBK" w:hAnsi="方正仿宋_GBK" w:eastAsia="方正仿宋_GBK" w:cs="方正仿宋_GBK"/>
                <w:b w:val="0"/>
                <w:bCs w:val="0"/>
                <w:color w:val="auto"/>
                <w:kern w:val="2"/>
                <w:sz w:val="28"/>
                <w:szCs w:val="28"/>
                <w:highlight w:val="none"/>
                <w:vertAlign w:val="baseline"/>
                <w:lang w:val="en-US" w:eastAsia="zh-CN" w:bidi="ar-SA"/>
              </w:rPr>
            </w:pPr>
            <w:r>
              <w:rPr>
                <w:rFonts w:hint="eastAsia" w:ascii="方正仿宋_GBK" w:hAnsi="方正仿宋_GBK" w:eastAsia="方正仿宋_GBK" w:cs="方正仿宋_GBK"/>
                <w:b w:val="0"/>
                <w:bCs w:val="0"/>
                <w:color w:val="auto"/>
                <w:sz w:val="28"/>
                <w:szCs w:val="28"/>
                <w:highlight w:val="none"/>
                <w:vertAlign w:val="baseline"/>
                <w:lang w:val="en-US" w:eastAsia="zh-CN"/>
              </w:rPr>
              <w:t>投标报价得分=（评标基准价/投标报价）*20</w:t>
            </w:r>
          </w:p>
        </w:tc>
        <w:tc>
          <w:tcPr>
            <w:tcW w:w="946" w:type="dxa"/>
            <w:shd w:val="clear" w:color="auto" w:fill="auto"/>
            <w:vAlign w:val="center"/>
          </w:tcPr>
          <w:p>
            <w:pPr>
              <w:numPr>
                <w:ilvl w:val="0"/>
                <w:numId w:val="0"/>
              </w:numPr>
              <w:ind w:left="0" w:leftChars="0" w:firstLine="0" w:firstLineChars="0"/>
              <w:jc w:val="center"/>
              <w:rPr>
                <w:rFonts w:hint="eastAsia" w:ascii="方正仿宋_GBK" w:hAnsi="方正仿宋_GBK" w:eastAsia="方正仿宋_GBK" w:cs="方正仿宋_GBK"/>
                <w:b w:val="0"/>
                <w:bCs w:val="0"/>
                <w:color w:val="auto"/>
                <w:kern w:val="2"/>
                <w:sz w:val="28"/>
                <w:szCs w:val="28"/>
                <w:highlight w:val="none"/>
                <w:vertAlign w:val="baseline"/>
                <w:lang w:val="en-US" w:eastAsia="zh-CN" w:bidi="ar-SA"/>
              </w:rPr>
            </w:pPr>
            <w:r>
              <w:rPr>
                <w:rFonts w:hint="eastAsia" w:ascii="方正仿宋_GBK" w:hAnsi="方正仿宋_GBK" w:eastAsia="方正仿宋_GBK" w:cs="方正仿宋_GBK"/>
                <w:b w:val="0"/>
                <w:bCs w:val="0"/>
                <w:color w:val="auto"/>
                <w:kern w:val="2"/>
                <w:sz w:val="28"/>
                <w:szCs w:val="28"/>
                <w:highlight w:val="none"/>
                <w:vertAlign w:val="baseline"/>
                <w:lang w:val="en-US" w:eastAsia="zh-CN" w:bidi="ar-SA"/>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spacing w:line="560" w:lineRule="exact"/>
              <w:ind w:firstLine="280" w:firstLineChars="100"/>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w:t>
            </w:r>
          </w:p>
        </w:tc>
        <w:tc>
          <w:tcPr>
            <w:tcW w:w="1529" w:type="dxa"/>
            <w:vAlign w:val="center"/>
          </w:tcPr>
          <w:p>
            <w:pPr>
              <w:spacing w:line="560" w:lineRule="exact"/>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技术服务方案</w:t>
            </w:r>
          </w:p>
        </w:tc>
        <w:tc>
          <w:tcPr>
            <w:tcW w:w="5826" w:type="dxa"/>
            <w:vAlign w:val="center"/>
          </w:tcPr>
          <w:p>
            <w:pPr>
              <w:spacing w:line="560" w:lineRule="exact"/>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1、针对本次投标，制定的服务方案科学合理，全面响应项目需求，合理组织工作，可以切实保障项目的实际需求的；（21-30分）</w:t>
            </w:r>
          </w:p>
          <w:p>
            <w:pPr>
              <w:spacing w:line="560" w:lineRule="exact"/>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2、项目整体服务方案合理，响应项目需求，组织工作得当；（11-20分）</w:t>
            </w:r>
          </w:p>
          <w:p>
            <w:pPr>
              <w:spacing w:line="560" w:lineRule="exact"/>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3、项目整体实施方案描述基本合理，但有一定针对性，组织工作一般。（6-10分）</w:t>
            </w:r>
          </w:p>
          <w:p>
            <w:pPr>
              <w:spacing w:line="560" w:lineRule="exact"/>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4、项目整体实施方案描述简单，但基本可行；（1-5分）</w:t>
            </w:r>
          </w:p>
          <w:p>
            <w:pPr>
              <w:spacing w:line="560" w:lineRule="exact"/>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5、未提供方案或方案不可行，缺乏合理性、可行性的不得分。</w:t>
            </w:r>
          </w:p>
        </w:tc>
        <w:tc>
          <w:tcPr>
            <w:tcW w:w="946" w:type="dxa"/>
            <w:vAlign w:val="center"/>
          </w:tcPr>
          <w:p>
            <w:pPr>
              <w:numPr>
                <w:ilvl w:val="0"/>
                <w:numId w:val="0"/>
              </w:numPr>
              <w:ind w:left="0" w:leftChars="0" w:firstLine="0" w:firstLineChars="0"/>
              <w:jc w:val="center"/>
              <w:rPr>
                <w:rFonts w:hint="eastAsia" w:ascii="方正仿宋_GBK" w:hAnsi="方正仿宋_GBK" w:eastAsia="方正仿宋_GBK" w:cs="方正仿宋_GBK"/>
                <w:b w:val="0"/>
                <w:bCs w:val="0"/>
                <w:color w:val="auto"/>
                <w:kern w:val="2"/>
                <w:sz w:val="28"/>
                <w:szCs w:val="28"/>
                <w:highlight w:val="none"/>
                <w:vertAlign w:val="baseline"/>
                <w:lang w:val="en-US" w:eastAsia="zh-CN" w:bidi="ar-SA"/>
              </w:rPr>
            </w:pPr>
            <w:r>
              <w:rPr>
                <w:rFonts w:hint="eastAsia" w:ascii="方正仿宋_GBK" w:hAnsi="方正仿宋_GBK" w:eastAsia="方正仿宋_GBK" w:cs="方正仿宋_GBK"/>
                <w:b w:val="0"/>
                <w:bCs w:val="0"/>
                <w:color w:val="auto"/>
                <w:kern w:val="2"/>
                <w:sz w:val="28"/>
                <w:szCs w:val="28"/>
                <w:highlight w:val="none"/>
                <w:vertAlign w:val="baseline"/>
                <w:lang w:val="en-US" w:eastAsia="zh-CN" w:bidi="ar-SA"/>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873" w:type="dxa"/>
            <w:vAlign w:val="center"/>
          </w:tcPr>
          <w:p>
            <w:pPr>
              <w:numPr>
                <w:ilvl w:val="0"/>
                <w:numId w:val="0"/>
              </w:num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3</w:t>
            </w:r>
          </w:p>
        </w:tc>
        <w:tc>
          <w:tcPr>
            <w:tcW w:w="1529" w:type="dxa"/>
            <w:vAlign w:val="center"/>
          </w:tcPr>
          <w:p>
            <w:pPr>
              <w:numPr>
                <w:ilvl w:val="0"/>
                <w:numId w:val="0"/>
              </w:num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进度计划及保障措施</w:t>
            </w:r>
          </w:p>
        </w:tc>
        <w:tc>
          <w:tcPr>
            <w:tcW w:w="5826" w:type="dxa"/>
            <w:vAlign w:val="center"/>
          </w:tcPr>
          <w:p>
            <w:pPr>
              <w:numPr>
                <w:ilvl w:val="0"/>
                <w:numId w:val="2"/>
              </w:numPr>
              <w:spacing w:line="560" w:lineRule="exact"/>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积极与医院协商并制定详细的项目计划，明确设计阶段、设定工作交付时间做好现场服务及保证措施；（11-15分）</w:t>
            </w:r>
          </w:p>
          <w:p>
            <w:pPr>
              <w:numPr>
                <w:ilvl w:val="0"/>
                <w:numId w:val="2"/>
              </w:numPr>
              <w:spacing w:line="560" w:lineRule="exact"/>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有项目计划，能够配合医院完成各设计阶段工作，做好现场服务及保证措施；（5-10分）</w:t>
            </w:r>
          </w:p>
          <w:p>
            <w:pPr>
              <w:numPr>
                <w:ilvl w:val="0"/>
                <w:numId w:val="2"/>
              </w:numPr>
              <w:spacing w:line="560" w:lineRule="exact"/>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按照医院要求，基本完成各各设计阶段工作及保证措施；（1-4分）</w:t>
            </w:r>
          </w:p>
        </w:tc>
        <w:tc>
          <w:tcPr>
            <w:tcW w:w="946" w:type="dxa"/>
            <w:vAlign w:val="center"/>
          </w:tcPr>
          <w:p>
            <w:pPr>
              <w:numPr>
                <w:ilvl w:val="0"/>
                <w:numId w:val="0"/>
              </w:numPr>
              <w:ind w:left="0" w:leftChars="0" w:firstLine="0" w:firstLineChars="0"/>
              <w:jc w:val="center"/>
              <w:rPr>
                <w:rFonts w:hint="default" w:ascii="方正仿宋_GBK" w:hAnsi="方正仿宋_GBK" w:eastAsia="方正仿宋_GBK" w:cs="方正仿宋_GBK"/>
                <w:b w:val="0"/>
                <w:bCs w:val="0"/>
                <w:color w:val="auto"/>
                <w:kern w:val="2"/>
                <w:sz w:val="28"/>
                <w:szCs w:val="28"/>
                <w:highlight w:val="none"/>
                <w:vertAlign w:val="baseline"/>
                <w:lang w:val="en-US" w:eastAsia="zh-CN" w:bidi="ar-SA"/>
              </w:rPr>
            </w:pPr>
            <w:r>
              <w:rPr>
                <w:rFonts w:hint="eastAsia" w:ascii="方正仿宋_GBK" w:hAnsi="方正仿宋_GBK" w:eastAsia="方正仿宋_GBK" w:cs="方正仿宋_GBK"/>
                <w:b w:val="0"/>
                <w:bCs w:val="0"/>
                <w:color w:val="auto"/>
                <w:kern w:val="2"/>
                <w:sz w:val="28"/>
                <w:szCs w:val="28"/>
                <w:highlight w:val="none"/>
                <w:vertAlign w:val="baseline"/>
                <w:lang w:val="en-US" w:eastAsia="zh-CN" w:bidi="ar-SA"/>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numPr>
                <w:ilvl w:val="0"/>
                <w:numId w:val="0"/>
              </w:num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4</w:t>
            </w:r>
          </w:p>
        </w:tc>
        <w:tc>
          <w:tcPr>
            <w:tcW w:w="1529" w:type="dxa"/>
            <w:vAlign w:val="center"/>
          </w:tcPr>
          <w:p>
            <w:pPr>
              <w:numPr>
                <w:ilvl w:val="0"/>
                <w:numId w:val="0"/>
              </w:num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质量要求</w:t>
            </w:r>
          </w:p>
        </w:tc>
        <w:tc>
          <w:tcPr>
            <w:tcW w:w="5826" w:type="dxa"/>
            <w:vAlign w:val="center"/>
          </w:tcPr>
          <w:p>
            <w:pPr>
              <w:numPr>
                <w:ilvl w:val="0"/>
                <w:numId w:val="3"/>
              </w:numPr>
              <w:jc w:val="left"/>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sz w:val="28"/>
                <w:szCs w:val="28"/>
                <w:highlight w:val="none"/>
                <w:lang w:val="en-US" w:eastAsia="zh-CN"/>
              </w:rPr>
              <w:t>有详细、完整的项目设计质量控制措施方案，并做出服务承诺；（11-15分）</w:t>
            </w:r>
          </w:p>
          <w:p>
            <w:pPr>
              <w:numPr>
                <w:ilvl w:val="0"/>
                <w:numId w:val="3"/>
              </w:numPr>
              <w:jc w:val="left"/>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sz w:val="28"/>
                <w:szCs w:val="28"/>
                <w:highlight w:val="none"/>
                <w:lang w:val="en-US" w:eastAsia="zh-CN"/>
              </w:rPr>
              <w:t>有满足项目设计质量控制措施方案，及服务承诺；（5-10分）</w:t>
            </w:r>
          </w:p>
          <w:p>
            <w:pPr>
              <w:numPr>
                <w:ilvl w:val="0"/>
                <w:numId w:val="3"/>
              </w:numPr>
              <w:jc w:val="left"/>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sz w:val="28"/>
                <w:szCs w:val="28"/>
                <w:highlight w:val="none"/>
                <w:lang w:val="en-US" w:eastAsia="zh-CN"/>
              </w:rPr>
              <w:t>有基本满足项目设计质量控制措施，无服务承诺；（1-4分）</w:t>
            </w:r>
          </w:p>
        </w:tc>
        <w:tc>
          <w:tcPr>
            <w:tcW w:w="946" w:type="dxa"/>
            <w:vAlign w:val="center"/>
          </w:tcPr>
          <w:p>
            <w:pPr>
              <w:numPr>
                <w:ilvl w:val="0"/>
                <w:numId w:val="0"/>
              </w:numPr>
              <w:ind w:left="0" w:leftChars="0" w:firstLine="0" w:firstLineChars="0"/>
              <w:jc w:val="center"/>
              <w:rPr>
                <w:rFonts w:hint="default" w:ascii="方正仿宋_GBK" w:hAnsi="方正仿宋_GBK" w:eastAsia="方正仿宋_GBK" w:cs="方正仿宋_GBK"/>
                <w:b w:val="0"/>
                <w:bCs w:val="0"/>
                <w:color w:val="auto"/>
                <w:kern w:val="2"/>
                <w:sz w:val="28"/>
                <w:szCs w:val="28"/>
                <w:highlight w:val="none"/>
                <w:vertAlign w:val="baseline"/>
                <w:lang w:val="en-US" w:eastAsia="zh-CN" w:bidi="ar-SA"/>
              </w:rPr>
            </w:pPr>
            <w:r>
              <w:rPr>
                <w:rFonts w:hint="eastAsia" w:ascii="方正仿宋_GBK" w:hAnsi="方正仿宋_GBK" w:eastAsia="方正仿宋_GBK" w:cs="方正仿宋_GBK"/>
                <w:b w:val="0"/>
                <w:bCs w:val="0"/>
                <w:color w:val="auto"/>
                <w:kern w:val="2"/>
                <w:sz w:val="28"/>
                <w:szCs w:val="28"/>
                <w:highlight w:val="none"/>
                <w:vertAlign w:val="baseline"/>
                <w:lang w:val="en-US" w:eastAsia="zh-CN" w:bidi="ar-SA"/>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numPr>
                <w:ilvl w:val="0"/>
                <w:numId w:val="0"/>
              </w:num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5</w:t>
            </w:r>
          </w:p>
        </w:tc>
        <w:tc>
          <w:tcPr>
            <w:tcW w:w="1529" w:type="dxa"/>
            <w:vAlign w:val="center"/>
          </w:tcPr>
          <w:p>
            <w:pPr>
              <w:numPr>
                <w:ilvl w:val="0"/>
                <w:numId w:val="0"/>
              </w:num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业绩</w:t>
            </w:r>
          </w:p>
        </w:tc>
        <w:tc>
          <w:tcPr>
            <w:tcW w:w="5826" w:type="dxa"/>
            <w:vAlign w:val="center"/>
          </w:tcPr>
          <w:p>
            <w:pPr>
              <w:numPr>
                <w:ilvl w:val="0"/>
                <w:numId w:val="0"/>
              </w:numPr>
              <w:jc w:val="left"/>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sz w:val="28"/>
                <w:szCs w:val="28"/>
                <w:highlight w:val="none"/>
                <w:lang w:val="en-US" w:eastAsia="zh-CN"/>
              </w:rPr>
              <w:t>提供2022年1月至今同类项目业绩，类似业绩指核医学相关改扩建建设项目设计，每提供1个得2分，满分10分。（以2022年至今签订合同或发票或中标通知书等能证明业绩的复印件作为证明材料，加盖公章）</w:t>
            </w:r>
          </w:p>
        </w:tc>
        <w:tc>
          <w:tcPr>
            <w:tcW w:w="946" w:type="dxa"/>
            <w:vAlign w:val="center"/>
          </w:tcPr>
          <w:p>
            <w:pPr>
              <w:numPr>
                <w:ilvl w:val="0"/>
                <w:numId w:val="0"/>
              </w:numPr>
              <w:ind w:left="0" w:leftChars="0" w:firstLine="0" w:firstLineChars="0"/>
              <w:jc w:val="center"/>
              <w:rPr>
                <w:rFonts w:hint="default" w:ascii="方正仿宋_GBK" w:hAnsi="方正仿宋_GBK" w:eastAsia="方正仿宋_GBK" w:cs="方正仿宋_GBK"/>
                <w:b w:val="0"/>
                <w:bCs w:val="0"/>
                <w:color w:val="auto"/>
                <w:kern w:val="2"/>
                <w:sz w:val="28"/>
                <w:szCs w:val="28"/>
                <w:highlight w:val="none"/>
                <w:vertAlign w:val="baseline"/>
                <w:lang w:val="en-US" w:eastAsia="zh-CN" w:bidi="ar-SA"/>
              </w:rPr>
            </w:pPr>
            <w:r>
              <w:rPr>
                <w:rFonts w:hint="eastAsia" w:ascii="方正仿宋_GBK" w:hAnsi="方正仿宋_GBK" w:eastAsia="方正仿宋_GBK" w:cs="方正仿宋_GBK"/>
                <w:b w:val="0"/>
                <w:bCs w:val="0"/>
                <w:color w:val="auto"/>
                <w:kern w:val="2"/>
                <w:sz w:val="28"/>
                <w:szCs w:val="28"/>
                <w:highlight w:val="none"/>
                <w:vertAlign w:val="baseline"/>
                <w:lang w:val="en-US" w:eastAsia="zh-CN"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numPr>
                <w:ilvl w:val="0"/>
                <w:numId w:val="0"/>
              </w:num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6</w:t>
            </w:r>
          </w:p>
        </w:tc>
        <w:tc>
          <w:tcPr>
            <w:tcW w:w="1529" w:type="dxa"/>
            <w:vAlign w:val="center"/>
          </w:tcPr>
          <w:p>
            <w:pPr>
              <w:numPr>
                <w:ilvl w:val="0"/>
                <w:numId w:val="0"/>
              </w:num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人员配置</w:t>
            </w:r>
          </w:p>
        </w:tc>
        <w:tc>
          <w:tcPr>
            <w:tcW w:w="5826" w:type="dxa"/>
            <w:vAlign w:val="center"/>
          </w:tcPr>
          <w:p>
            <w:pPr>
              <w:numPr>
                <w:ilvl w:val="0"/>
                <w:numId w:val="0"/>
              </w:numPr>
              <w:jc w:val="left"/>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项目设计团队需配备有建筑专业、结构专业、给水排水专业、电气专业、暖通专业人员。（提供相关职称证书复印件作为证明材料，每提供一项加2分，加满10分为止）</w:t>
            </w:r>
          </w:p>
        </w:tc>
        <w:tc>
          <w:tcPr>
            <w:tcW w:w="946" w:type="dxa"/>
            <w:vAlign w:val="center"/>
          </w:tcPr>
          <w:p>
            <w:pPr>
              <w:numPr>
                <w:ilvl w:val="0"/>
                <w:numId w:val="0"/>
              </w:numPr>
              <w:ind w:left="0" w:leftChars="0" w:firstLine="0" w:firstLineChars="0"/>
              <w:jc w:val="center"/>
              <w:rPr>
                <w:rFonts w:hint="default" w:ascii="方正仿宋_GBK" w:hAnsi="方正仿宋_GBK" w:eastAsia="方正仿宋_GBK" w:cs="方正仿宋_GBK"/>
                <w:b w:val="0"/>
                <w:bCs w:val="0"/>
                <w:color w:val="auto"/>
                <w:kern w:val="2"/>
                <w:sz w:val="28"/>
                <w:szCs w:val="28"/>
                <w:highlight w:val="none"/>
                <w:vertAlign w:val="baseline"/>
                <w:lang w:val="en-US" w:eastAsia="zh-CN" w:bidi="ar-SA"/>
              </w:rPr>
            </w:pPr>
            <w:r>
              <w:rPr>
                <w:rFonts w:hint="eastAsia" w:ascii="方正仿宋_GBK" w:hAnsi="方正仿宋_GBK" w:eastAsia="方正仿宋_GBK" w:cs="方正仿宋_GBK"/>
                <w:b w:val="0"/>
                <w:bCs w:val="0"/>
                <w:color w:val="auto"/>
                <w:kern w:val="2"/>
                <w:sz w:val="28"/>
                <w:szCs w:val="28"/>
                <w:highlight w:val="none"/>
                <w:vertAlign w:val="baseline"/>
                <w:lang w:val="en-US" w:eastAsia="zh-CN" w:bidi="ar-SA"/>
              </w:rPr>
              <w:t>10分</w:t>
            </w:r>
          </w:p>
        </w:tc>
      </w:tr>
    </w:tbl>
    <w:p>
      <w:pP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br w:type="page"/>
      </w:r>
    </w:p>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32"/>
          <w:szCs w:val="32"/>
          <w:highlight w:val="none"/>
          <w:lang w:val="en-US" w:eastAsia="zh-CN"/>
        </w:rPr>
        <w:t>附件1：</w:t>
      </w:r>
    </w:p>
    <w:p>
      <w:pPr>
        <w:pStyle w:val="2"/>
        <w:bidi w:val="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昆明医科大学第二附属医院核医学科新建场所核素种类和用量规划</w:t>
      </w:r>
    </w:p>
    <w:p>
      <w:pPr>
        <w:numPr>
          <w:ilvl w:val="0"/>
          <w:numId w:val="0"/>
        </w:numPr>
        <w:ind w:left="315" w:leftChars="0" w:firstLine="640" w:firstLineChars="200"/>
        <w:rPr>
          <w:rFonts w:hint="eastAsia" w:ascii="黑体" w:hAnsi="黑体" w:eastAsia="黑体" w:cs="黑体"/>
          <w:b w:val="0"/>
          <w:bCs w:val="0"/>
          <w:sz w:val="32"/>
          <w:szCs w:val="28"/>
          <w:lang w:val="en-US" w:eastAsia="zh-CN"/>
        </w:rPr>
      </w:pPr>
      <w:r>
        <w:rPr>
          <w:rFonts w:hint="eastAsia" w:ascii="黑体" w:hAnsi="黑体" w:eastAsia="黑体" w:cs="黑体"/>
          <w:b w:val="0"/>
          <w:bCs w:val="0"/>
          <w:sz w:val="32"/>
          <w:szCs w:val="28"/>
          <w:lang w:val="en-US" w:eastAsia="zh-CN"/>
        </w:rPr>
        <w:t>一、治疗类核素</w:t>
      </w:r>
    </w:p>
    <w:p>
      <w:pPr>
        <w:numPr>
          <w:ilvl w:val="0"/>
          <w:numId w:val="0"/>
        </w:numPr>
        <w:ind w:left="315" w:leftChars="0" w:firstLine="640" w:firstLineChars="200"/>
        <w:rPr>
          <w:rFonts w:hint="eastAsia" w:ascii="方正楷体_GBK" w:hAnsi="方正楷体_GBK" w:eastAsia="方正楷体_GBK" w:cs="方正楷体_GBK"/>
          <w:sz w:val="32"/>
          <w:szCs w:val="28"/>
          <w:lang w:val="en-US" w:eastAsia="zh-CN"/>
        </w:rPr>
      </w:pPr>
      <w:r>
        <w:rPr>
          <w:rFonts w:hint="eastAsia" w:ascii="方正楷体_GBK" w:hAnsi="方正楷体_GBK" w:eastAsia="方正楷体_GBK" w:cs="方正楷体_GBK"/>
          <w:sz w:val="32"/>
          <w:szCs w:val="28"/>
          <w:lang w:val="en-US" w:eastAsia="zh-CN"/>
        </w:rPr>
        <w:t>1、</w:t>
      </w:r>
      <w:r>
        <w:rPr>
          <w:rFonts w:hint="eastAsia" w:ascii="方正楷体_GBK" w:hAnsi="方正楷体_GBK" w:eastAsia="方正楷体_GBK" w:cs="方正楷体_GBK"/>
          <w:sz w:val="32"/>
          <w:szCs w:val="28"/>
          <w:vertAlign w:val="superscript"/>
          <w:lang w:val="en-US" w:eastAsia="zh-CN"/>
        </w:rPr>
        <w:t>131</w:t>
      </w:r>
      <w:r>
        <w:rPr>
          <w:rFonts w:hint="eastAsia" w:ascii="方正楷体_GBK" w:hAnsi="方正楷体_GBK" w:eastAsia="方正楷体_GBK" w:cs="方正楷体_GBK"/>
          <w:sz w:val="32"/>
          <w:szCs w:val="28"/>
          <w:lang w:val="en-US" w:eastAsia="zh-CN"/>
        </w:rPr>
        <w:t>I分为三个部分进行（250个工作日）</w:t>
      </w:r>
    </w:p>
    <w:p>
      <w:pPr>
        <w:numPr>
          <w:ilvl w:val="0"/>
          <w:numId w:val="0"/>
        </w:numPr>
        <w:ind w:left="315" w:leftChars="0" w:firstLine="640" w:firstLineChars="200"/>
        <w:rPr>
          <w:rFonts w:hint="eastAsia" w:eastAsia="方正仿宋_GBK"/>
          <w:sz w:val="32"/>
          <w:szCs w:val="28"/>
          <w:lang w:val="en-US" w:eastAsia="zh-CN"/>
        </w:rPr>
      </w:pPr>
      <w:r>
        <w:rPr>
          <w:rFonts w:hint="eastAsia" w:eastAsia="方正仿宋_GBK"/>
          <w:sz w:val="32"/>
          <w:szCs w:val="28"/>
          <w:lang w:val="en-US" w:eastAsia="zh-CN"/>
        </w:rPr>
        <w:t xml:space="preserve">1.1 （甲状腺吸碘功能测定）1.85E+5每个病人，日最大检查人次20人次，日最大操作量合计3.7E+6 </w:t>
      </w:r>
    </w:p>
    <w:p>
      <w:pPr>
        <w:numPr>
          <w:ilvl w:val="0"/>
          <w:numId w:val="0"/>
        </w:numPr>
        <w:ind w:left="315" w:leftChars="0" w:firstLine="640" w:firstLineChars="200"/>
        <w:rPr>
          <w:rFonts w:hint="eastAsia" w:eastAsia="方正仿宋_GBK"/>
          <w:sz w:val="32"/>
          <w:szCs w:val="28"/>
          <w:lang w:val="en-US" w:eastAsia="zh-CN"/>
        </w:rPr>
      </w:pPr>
      <w:r>
        <w:rPr>
          <w:rFonts w:hint="eastAsia" w:eastAsia="方正仿宋_GBK"/>
          <w:sz w:val="32"/>
          <w:szCs w:val="28"/>
          <w:lang w:val="en-US" w:eastAsia="zh-CN"/>
        </w:rPr>
        <w:t>1.2 （甲亢治疗）平均3.7E+8每个病人，日最大治疗量10人次，日最大操作量3.7E+9</w:t>
      </w:r>
    </w:p>
    <w:p>
      <w:pPr>
        <w:numPr>
          <w:ilvl w:val="0"/>
          <w:numId w:val="0"/>
        </w:numPr>
        <w:ind w:left="315" w:leftChars="0" w:firstLine="640" w:firstLineChars="200"/>
        <w:rPr>
          <w:rFonts w:hint="eastAsia" w:eastAsia="方正仿宋_GBK"/>
          <w:sz w:val="32"/>
          <w:szCs w:val="28"/>
          <w:lang w:val="en-US" w:eastAsia="zh-CN"/>
        </w:rPr>
      </w:pPr>
      <w:r>
        <w:rPr>
          <w:rFonts w:hint="eastAsia" w:eastAsia="方正仿宋_GBK"/>
          <w:sz w:val="32"/>
          <w:szCs w:val="28"/>
          <w:lang w:val="en-US" w:eastAsia="zh-CN"/>
        </w:rPr>
        <w:t>1.3 （甲状腺癌病房）平均3.7E+9每个病人，日最大治疗量10人次，日最大操作量3.7E+10，维持病房设置床位12张。</w:t>
      </w:r>
    </w:p>
    <w:p>
      <w:pPr>
        <w:numPr>
          <w:ilvl w:val="0"/>
          <w:numId w:val="0"/>
        </w:numPr>
        <w:ind w:left="315" w:leftChars="0" w:firstLine="640" w:firstLineChars="200"/>
        <w:rPr>
          <w:rFonts w:hint="eastAsia" w:ascii="方正楷体_GBK" w:hAnsi="方正楷体_GBK" w:eastAsia="方正楷体_GBK" w:cs="方正楷体_GBK"/>
          <w:sz w:val="32"/>
          <w:szCs w:val="28"/>
          <w:lang w:val="en-US" w:eastAsia="zh-CN"/>
        </w:rPr>
      </w:pPr>
      <w:r>
        <w:rPr>
          <w:rFonts w:hint="eastAsia" w:ascii="方正楷体_GBK" w:hAnsi="方正楷体_GBK" w:eastAsia="方正楷体_GBK" w:cs="方正楷体_GBK"/>
          <w:sz w:val="32"/>
          <w:szCs w:val="28"/>
          <w:lang w:val="en-US" w:eastAsia="zh-CN"/>
        </w:rPr>
        <w:t>2、89Sr（骨转移治疗）治疗只涉及门诊治疗（不产生废液），日最大治疗人次2人次，人均1.48E+8,日最大操作量2.96E+8。</w:t>
      </w:r>
    </w:p>
    <w:p>
      <w:pPr>
        <w:numPr>
          <w:ilvl w:val="0"/>
          <w:numId w:val="0"/>
        </w:numPr>
        <w:ind w:left="315" w:leftChars="0" w:firstLine="640" w:firstLineChars="200"/>
        <w:rPr>
          <w:rFonts w:hint="eastAsia" w:ascii="方正楷体_GBK" w:hAnsi="方正楷体_GBK" w:eastAsia="方正楷体_GBK" w:cs="方正楷体_GBK"/>
          <w:sz w:val="32"/>
          <w:szCs w:val="28"/>
          <w:lang w:val="en-US" w:eastAsia="zh-CN"/>
        </w:rPr>
      </w:pPr>
      <w:r>
        <w:rPr>
          <w:rFonts w:hint="eastAsia" w:ascii="方正楷体_GBK" w:hAnsi="方正楷体_GBK" w:eastAsia="方正楷体_GBK" w:cs="方正楷体_GBK"/>
          <w:sz w:val="32"/>
          <w:szCs w:val="28"/>
          <w:lang w:val="en-US" w:eastAsia="zh-CN"/>
        </w:rPr>
        <w:t>3、90Sr敷贴器（两枚敷贴器）出厂活度7.4E+8每枚。</w:t>
      </w:r>
    </w:p>
    <w:p>
      <w:pPr>
        <w:numPr>
          <w:ilvl w:val="0"/>
          <w:numId w:val="0"/>
        </w:numPr>
        <w:ind w:left="315" w:leftChars="0" w:firstLine="640" w:firstLineChars="200"/>
        <w:rPr>
          <w:rFonts w:hint="eastAsia" w:ascii="方正楷体_GBK" w:hAnsi="方正楷体_GBK" w:eastAsia="方正楷体_GBK" w:cs="方正楷体_GBK"/>
          <w:sz w:val="32"/>
          <w:szCs w:val="28"/>
          <w:lang w:val="en-US" w:eastAsia="zh-CN"/>
        </w:rPr>
      </w:pPr>
      <w:r>
        <w:rPr>
          <w:rFonts w:hint="eastAsia" w:ascii="方正楷体_GBK" w:hAnsi="方正楷体_GBK" w:eastAsia="方正楷体_GBK" w:cs="方正楷体_GBK"/>
          <w:sz w:val="32"/>
          <w:szCs w:val="28"/>
          <w:lang w:val="en-US" w:eastAsia="zh-CN"/>
        </w:rPr>
        <w:t>4、</w:t>
      </w:r>
      <w:r>
        <w:rPr>
          <w:rFonts w:hint="eastAsia" w:ascii="方正楷体_GBK" w:hAnsi="方正楷体_GBK" w:eastAsia="方正楷体_GBK" w:cs="方正楷体_GBK"/>
          <w:sz w:val="32"/>
          <w:szCs w:val="28"/>
          <w:vertAlign w:val="superscript"/>
          <w:lang w:val="en-US" w:eastAsia="zh-CN"/>
        </w:rPr>
        <w:t>177</w:t>
      </w:r>
      <w:r>
        <w:rPr>
          <w:rFonts w:hint="eastAsia" w:ascii="方正楷体_GBK" w:hAnsi="方正楷体_GBK" w:eastAsia="方正楷体_GBK" w:cs="方正楷体_GBK"/>
          <w:sz w:val="32"/>
          <w:szCs w:val="28"/>
          <w:lang w:val="en-US" w:eastAsia="zh-CN"/>
        </w:rPr>
        <w:t>lu(神经内分泌肿瘤、骨转移、前列腺癌治疗）日最大7.4E+9，年最大7.4E+11。</w:t>
      </w:r>
    </w:p>
    <w:p>
      <w:pPr>
        <w:numPr>
          <w:ilvl w:val="0"/>
          <w:numId w:val="0"/>
        </w:numPr>
        <w:ind w:left="315" w:leftChars="0" w:firstLine="640" w:firstLineChars="200"/>
        <w:rPr>
          <w:rFonts w:hint="eastAsia" w:ascii="方正楷体_GBK" w:hAnsi="方正楷体_GBK" w:eastAsia="方正楷体_GBK" w:cs="方正楷体_GBK"/>
          <w:sz w:val="32"/>
          <w:szCs w:val="28"/>
          <w:lang w:val="en-US" w:eastAsia="zh-CN"/>
        </w:rPr>
      </w:pPr>
      <w:r>
        <w:rPr>
          <w:rFonts w:hint="eastAsia" w:ascii="方正楷体_GBK" w:hAnsi="方正楷体_GBK" w:eastAsia="方正楷体_GBK" w:cs="方正楷体_GBK"/>
          <w:sz w:val="32"/>
          <w:szCs w:val="28"/>
          <w:lang w:val="en-US" w:eastAsia="zh-CN"/>
        </w:rPr>
        <w:t>5、125I粒子日最大操作量5.92E+9，年最大使用量2.96E+11。</w:t>
      </w:r>
    </w:p>
    <w:p>
      <w:pPr>
        <w:numPr>
          <w:ilvl w:val="0"/>
          <w:numId w:val="4"/>
        </w:numPr>
        <w:ind w:left="315" w:leftChars="0" w:firstLine="640" w:firstLineChars="200"/>
        <w:rPr>
          <w:rFonts w:hint="eastAsia" w:ascii="方正楷体_GBK" w:hAnsi="方正楷体_GBK" w:eastAsia="方正楷体_GBK" w:cs="方正楷体_GBK"/>
          <w:sz w:val="32"/>
          <w:szCs w:val="28"/>
          <w:lang w:val="en-US" w:eastAsia="zh-CN"/>
        </w:rPr>
      </w:pPr>
      <w:r>
        <w:rPr>
          <w:rFonts w:hint="eastAsia" w:ascii="方正楷体_GBK" w:hAnsi="方正楷体_GBK" w:eastAsia="方正楷体_GBK" w:cs="方正楷体_GBK"/>
          <w:sz w:val="32"/>
          <w:szCs w:val="28"/>
          <w:lang w:val="en-US" w:eastAsia="zh-CN"/>
        </w:rPr>
        <w:t>钇90（肝动脉灌注肿瘤治疗）3.0E+9每人次，日最多4人，日最大1.2E+10，年最大6.0E+11。</w:t>
      </w:r>
    </w:p>
    <w:p>
      <w:pPr>
        <w:numPr>
          <w:ilvl w:val="0"/>
          <w:numId w:val="0"/>
        </w:numPr>
        <w:ind w:leftChars="200" w:firstLine="643" w:firstLineChars="200"/>
        <w:rPr>
          <w:rFonts w:hint="eastAsia" w:ascii="黑体" w:hAnsi="黑体" w:eastAsia="黑体" w:cs="黑体"/>
          <w:b/>
          <w:bCs/>
          <w:sz w:val="32"/>
          <w:szCs w:val="28"/>
          <w:lang w:val="en-US" w:eastAsia="zh-CN"/>
        </w:rPr>
      </w:pPr>
      <w:r>
        <w:rPr>
          <w:rFonts w:hint="eastAsia" w:ascii="黑体" w:hAnsi="黑体" w:eastAsia="黑体" w:cs="黑体"/>
          <w:b/>
          <w:bCs/>
          <w:sz w:val="32"/>
          <w:szCs w:val="28"/>
          <w:lang w:val="en-US" w:eastAsia="zh-CN"/>
        </w:rPr>
        <w:t>二、诊断类核素</w:t>
      </w:r>
    </w:p>
    <w:p>
      <w:pPr>
        <w:numPr>
          <w:ilvl w:val="0"/>
          <w:numId w:val="0"/>
        </w:numPr>
        <w:ind w:left="315" w:leftChars="0" w:firstLine="640" w:firstLineChars="200"/>
        <w:rPr>
          <w:rFonts w:hint="default" w:eastAsia="方正仿宋_GBK"/>
          <w:sz w:val="32"/>
          <w:szCs w:val="28"/>
          <w:lang w:val="en-US" w:eastAsia="zh-CN"/>
        </w:rPr>
      </w:pPr>
      <w:r>
        <w:rPr>
          <w:rFonts w:hint="eastAsia" w:ascii="方正楷体_GBK" w:hAnsi="方正楷体_GBK" w:eastAsia="方正楷体_GBK" w:cs="方正楷体_GBK"/>
          <w:sz w:val="32"/>
          <w:szCs w:val="28"/>
          <w:lang w:val="en-US" w:eastAsia="zh-CN"/>
        </w:rPr>
        <w:t>1、</w:t>
      </w:r>
      <w:r>
        <w:rPr>
          <w:rFonts w:hint="eastAsia" w:ascii="方正楷体_GBK" w:hAnsi="方正楷体_GBK" w:eastAsia="方正楷体_GBK" w:cs="方正楷体_GBK"/>
          <w:sz w:val="32"/>
          <w:szCs w:val="28"/>
          <w:vertAlign w:val="superscript"/>
          <w:lang w:val="en-US" w:eastAsia="zh-CN"/>
        </w:rPr>
        <w:t>99m</w:t>
      </w:r>
      <w:r>
        <w:rPr>
          <w:rFonts w:hint="eastAsia" w:ascii="方正楷体_GBK" w:hAnsi="方正楷体_GBK" w:eastAsia="方正楷体_GBK" w:cs="方正楷体_GBK"/>
          <w:sz w:val="32"/>
          <w:szCs w:val="28"/>
          <w:lang w:val="en-US" w:eastAsia="zh-CN"/>
        </w:rPr>
        <w:t>TC单人最大使用量9.25E+8，日最大检查人次40人，日最大操作量3.7E+10，年最大用量6.75E+12。</w:t>
      </w:r>
    </w:p>
    <w:p>
      <w:pPr>
        <w:rPr>
          <w:rFonts w:hint="eastAsia" w:ascii="仿宋" w:hAnsi="仿宋" w:eastAsia="仿宋" w:cs="仿宋"/>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3CEFB"/>
    <w:multiLevelType w:val="singleLevel"/>
    <w:tmpl w:val="D0A3CEFB"/>
    <w:lvl w:ilvl="0" w:tentative="0">
      <w:start w:val="1"/>
      <w:numFmt w:val="decimal"/>
      <w:suff w:val="nothing"/>
      <w:lvlText w:val="%1、"/>
      <w:lvlJc w:val="left"/>
    </w:lvl>
  </w:abstractNum>
  <w:abstractNum w:abstractNumId="1">
    <w:nsid w:val="1227E397"/>
    <w:multiLevelType w:val="singleLevel"/>
    <w:tmpl w:val="1227E397"/>
    <w:lvl w:ilvl="0" w:tentative="0">
      <w:start w:val="1"/>
      <w:numFmt w:val="decimal"/>
      <w:suff w:val="nothing"/>
      <w:lvlText w:val="%1、"/>
      <w:lvlJc w:val="left"/>
    </w:lvl>
  </w:abstractNum>
  <w:abstractNum w:abstractNumId="2">
    <w:nsid w:val="5193EE3A"/>
    <w:multiLevelType w:val="singleLevel"/>
    <w:tmpl w:val="5193EE3A"/>
    <w:lvl w:ilvl="0" w:tentative="0">
      <w:start w:val="6"/>
      <w:numFmt w:val="decimal"/>
      <w:suff w:val="nothing"/>
      <w:lvlText w:val="%1、"/>
      <w:lvlJc w:val="left"/>
    </w:lvl>
  </w:abstractNum>
  <w:abstractNum w:abstractNumId="3">
    <w:nsid w:val="6468AA20"/>
    <w:multiLevelType w:val="singleLevel"/>
    <w:tmpl w:val="6468AA20"/>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2552E"/>
    <w:rsid w:val="09DC6C56"/>
    <w:rsid w:val="0BC47D99"/>
    <w:rsid w:val="0DDA2CB2"/>
    <w:rsid w:val="0E75680F"/>
    <w:rsid w:val="10912602"/>
    <w:rsid w:val="138C7C9D"/>
    <w:rsid w:val="16135F94"/>
    <w:rsid w:val="16EA1657"/>
    <w:rsid w:val="199D2AD1"/>
    <w:rsid w:val="1C0436F7"/>
    <w:rsid w:val="1EDD33BC"/>
    <w:rsid w:val="21793A5C"/>
    <w:rsid w:val="226A46CB"/>
    <w:rsid w:val="24B90BCD"/>
    <w:rsid w:val="26090248"/>
    <w:rsid w:val="279A2571"/>
    <w:rsid w:val="282E45BA"/>
    <w:rsid w:val="31B00187"/>
    <w:rsid w:val="34054328"/>
    <w:rsid w:val="353451EA"/>
    <w:rsid w:val="3B90783A"/>
    <w:rsid w:val="3BB1652F"/>
    <w:rsid w:val="3ECF7AB1"/>
    <w:rsid w:val="434016E7"/>
    <w:rsid w:val="447F4114"/>
    <w:rsid w:val="4CF61619"/>
    <w:rsid w:val="4D55585E"/>
    <w:rsid w:val="58215CBE"/>
    <w:rsid w:val="5EFF19E0"/>
    <w:rsid w:val="60327705"/>
    <w:rsid w:val="60C275F4"/>
    <w:rsid w:val="62275E2B"/>
    <w:rsid w:val="69D53BAF"/>
    <w:rsid w:val="6AA15D6F"/>
    <w:rsid w:val="70D05B51"/>
    <w:rsid w:val="71F715F1"/>
    <w:rsid w:val="72235E12"/>
    <w:rsid w:val="72AF38CA"/>
    <w:rsid w:val="779C6718"/>
    <w:rsid w:val="7BA2554D"/>
    <w:rsid w:val="7C1906A7"/>
    <w:rsid w:val="7DD31C11"/>
    <w:rsid w:val="7F923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1375</Words>
  <Characters>1417</Characters>
  <Lines>0</Lines>
  <Paragraphs>0</Paragraphs>
  <TotalTime>43</TotalTime>
  <ScaleCrop>false</ScaleCrop>
  <LinksUpToDate>false</LinksUpToDate>
  <CharactersWithSpaces>1435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2023-11-15T07:09:00Z</dcterms:created>
  <dc:creator>Administrator</dc:creator>
  <cp:lastModifiedBy>Administrator</cp:lastModifiedBy>
  <cp:lastPrinted>2025-02-27T01:28:00Z</cp:lastPrinted>
  <dcterms:modified xsi:type="dcterms:W3CDTF">2025-03-12T03:01:04Z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083D3F9CCE64420185B231CDCD7C840D_13</vt:lpwstr>
  </property>
  <property fmtid="{D5CDD505-2E9C-101B-9397-08002B2CF9AE}" pid="4" name="KSOTemplateDocerSaveRecord">
    <vt:lpwstr>eyJoZGlkIjoiZTE4ZGFiN2E5ZDQyNjc3YWM5ZTg0NmYyOWVkZjM2YzEifQ==</vt:lpwstr>
  </property>
</Properties>
</file>