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C7F556">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昆明医科大学第二附属医院限制类医疗</w:t>
      </w:r>
    </w:p>
    <w:p w14:paraId="0C01B88C">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技术培训基地招生计划</w:t>
      </w:r>
    </w:p>
    <w:p w14:paraId="2F3DD632">
      <w:pPr>
        <w:jc w:val="center"/>
        <w:rPr>
          <w:rFonts w:hint="eastAsia" w:ascii="仿宋_GB2312" w:hAnsi="仿宋_GB2312" w:eastAsia="仿宋_GB2312" w:cs="仿宋_GB2312"/>
          <w:sz w:val="32"/>
          <w:szCs w:val="32"/>
        </w:rPr>
      </w:pPr>
    </w:p>
    <w:p w14:paraId="75E3E1DC">
      <w:pPr>
        <w:jc w:val="center"/>
        <w:rPr>
          <w:rFonts w:hint="eastAsia" w:ascii="仿宋_GB2312" w:hAnsi="仿宋_GB2312" w:eastAsia="仿宋_GB2312" w:cs="仿宋_GB2312"/>
          <w:sz w:val="32"/>
          <w:szCs w:val="32"/>
        </w:rPr>
      </w:pPr>
      <w:r>
        <w:drawing>
          <wp:inline distT="0" distB="0" distL="114300" distR="114300">
            <wp:extent cx="5264785" cy="1670685"/>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1670685"/>
                    </a:xfrm>
                    <a:prstGeom prst="rect">
                      <a:avLst/>
                    </a:prstGeom>
                    <a:noFill/>
                    <a:ln>
                      <a:noFill/>
                    </a:ln>
                  </pic:spPr>
                </pic:pic>
              </a:graphicData>
            </a:graphic>
          </wp:inline>
        </w:drawing>
      </w:r>
    </w:p>
    <w:p w14:paraId="003E6E4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云南省医疗服务质量评估中心《医疗技术临床应用管理办法》、《关于2021年度医疗技术临床应用管理工作的通知》的要求，为加强限制类医疗技术临床应用的规范化管理与人才队伍建设，昆明医科大学第二附属医院限制类医疗技术临床应用规范化培训基地面向全省招收2024年</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级限制类医疗技术规范化培训学员，具体招生安排如下：</w:t>
      </w:r>
    </w:p>
    <w:p w14:paraId="388876EE">
      <w:pPr>
        <w:ind w:firstLine="640" w:firstLineChars="200"/>
        <w:rPr>
          <w:rFonts w:hint="eastAsia" w:ascii="黑体" w:hAnsi="黑体" w:eastAsia="黑体" w:cs="黑体"/>
          <w:color w:val="FF0000"/>
          <w:sz w:val="32"/>
          <w:szCs w:val="32"/>
        </w:rPr>
      </w:pPr>
      <w:r>
        <w:rPr>
          <w:rFonts w:hint="eastAsia" w:ascii="黑体" w:hAnsi="黑体" w:eastAsia="黑体" w:cs="黑体"/>
          <w:color w:val="FF0000"/>
          <w:sz w:val="32"/>
          <w:szCs w:val="32"/>
        </w:rPr>
        <w:t>一、招生计划（202</w:t>
      </w:r>
      <w:r>
        <w:rPr>
          <w:rFonts w:hint="eastAsia" w:ascii="黑体" w:hAnsi="黑体" w:eastAsia="黑体" w:cs="黑体"/>
          <w:color w:val="FF0000"/>
          <w:sz w:val="32"/>
          <w:szCs w:val="32"/>
          <w:lang w:val="en-US" w:eastAsia="zh-CN"/>
        </w:rPr>
        <w:t>5</w:t>
      </w:r>
      <w:r>
        <w:rPr>
          <w:rFonts w:hint="eastAsia" w:ascii="黑体" w:hAnsi="黑体" w:eastAsia="黑体" w:cs="黑体"/>
          <w:color w:val="FF0000"/>
          <w:sz w:val="32"/>
          <w:szCs w:val="32"/>
        </w:rPr>
        <w:t>年202</w:t>
      </w:r>
      <w:r>
        <w:rPr>
          <w:rFonts w:hint="eastAsia" w:ascii="黑体" w:hAnsi="黑体" w:eastAsia="黑体" w:cs="黑体"/>
          <w:color w:val="FF0000"/>
          <w:sz w:val="32"/>
          <w:szCs w:val="32"/>
          <w:lang w:val="en-US" w:eastAsia="zh-CN"/>
        </w:rPr>
        <w:t>5</w:t>
      </w:r>
      <w:r>
        <w:rPr>
          <w:rFonts w:hint="eastAsia" w:ascii="黑体" w:hAnsi="黑体" w:eastAsia="黑体" w:cs="黑体"/>
          <w:color w:val="FF0000"/>
          <w:sz w:val="32"/>
          <w:szCs w:val="32"/>
        </w:rPr>
        <w:t>01批次）</w:t>
      </w:r>
    </w:p>
    <w:tbl>
      <w:tblPr>
        <w:tblStyle w:val="5"/>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2951"/>
        <w:gridCol w:w="1184"/>
        <w:gridCol w:w="1260"/>
        <w:gridCol w:w="705"/>
        <w:gridCol w:w="1353"/>
        <w:gridCol w:w="632"/>
      </w:tblGrid>
      <w:tr w14:paraId="1941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4" w:type="dxa"/>
            <w:noWrap w:val="0"/>
            <w:vAlign w:val="center"/>
          </w:tcPr>
          <w:p w14:paraId="02F40139">
            <w:pPr>
              <w:jc w:val="center"/>
              <w:rPr>
                <w:rFonts w:hint="eastAsia" w:ascii="宋体" w:hAnsi="宋体" w:cs="宋体"/>
                <w:color w:val="FF0000"/>
                <w:sz w:val="18"/>
                <w:szCs w:val="18"/>
              </w:rPr>
            </w:pPr>
            <w:r>
              <w:rPr>
                <w:rFonts w:hint="eastAsia" w:ascii="宋体" w:hAnsi="宋体" w:cs="宋体"/>
                <w:color w:val="FF0000"/>
                <w:sz w:val="18"/>
                <w:szCs w:val="18"/>
              </w:rPr>
              <w:t>序</w:t>
            </w:r>
          </w:p>
          <w:p w14:paraId="4ECC65B6">
            <w:pPr>
              <w:jc w:val="center"/>
              <w:rPr>
                <w:rFonts w:hint="eastAsia" w:ascii="宋体" w:hAnsi="宋体" w:cs="宋体"/>
                <w:color w:val="FF0000"/>
                <w:sz w:val="18"/>
                <w:szCs w:val="18"/>
              </w:rPr>
            </w:pPr>
            <w:r>
              <w:rPr>
                <w:rFonts w:hint="eastAsia" w:ascii="宋体" w:hAnsi="宋体" w:cs="宋体"/>
                <w:color w:val="FF0000"/>
                <w:sz w:val="18"/>
                <w:szCs w:val="18"/>
              </w:rPr>
              <w:t>号</w:t>
            </w:r>
          </w:p>
        </w:tc>
        <w:tc>
          <w:tcPr>
            <w:tcW w:w="2951" w:type="dxa"/>
            <w:noWrap w:val="0"/>
            <w:vAlign w:val="center"/>
          </w:tcPr>
          <w:p w14:paraId="6344A23B">
            <w:pPr>
              <w:jc w:val="center"/>
              <w:rPr>
                <w:rFonts w:hint="eastAsia" w:ascii="宋体" w:hAnsi="宋体" w:cs="宋体"/>
                <w:color w:val="FF0000"/>
                <w:sz w:val="18"/>
                <w:szCs w:val="18"/>
              </w:rPr>
            </w:pPr>
            <w:r>
              <w:rPr>
                <w:rFonts w:hint="eastAsia" w:ascii="宋体" w:hAnsi="宋体" w:cs="宋体"/>
                <w:color w:val="FF0000"/>
                <w:sz w:val="18"/>
                <w:szCs w:val="18"/>
              </w:rPr>
              <w:t>技术</w:t>
            </w:r>
          </w:p>
          <w:p w14:paraId="295AD013">
            <w:pPr>
              <w:jc w:val="center"/>
              <w:rPr>
                <w:rFonts w:ascii="宋体" w:hAnsi="宋体" w:cs="宋体"/>
                <w:color w:val="FF0000"/>
                <w:sz w:val="18"/>
                <w:szCs w:val="18"/>
              </w:rPr>
            </w:pPr>
            <w:r>
              <w:rPr>
                <w:rFonts w:hint="eastAsia" w:ascii="宋体" w:hAnsi="宋体" w:cs="宋体"/>
                <w:color w:val="FF0000"/>
                <w:sz w:val="18"/>
                <w:szCs w:val="18"/>
              </w:rPr>
              <w:t>名称</w:t>
            </w:r>
          </w:p>
        </w:tc>
        <w:tc>
          <w:tcPr>
            <w:tcW w:w="1184" w:type="dxa"/>
            <w:noWrap w:val="0"/>
            <w:vAlign w:val="center"/>
          </w:tcPr>
          <w:p w14:paraId="2BFCCA86">
            <w:pPr>
              <w:jc w:val="center"/>
              <w:rPr>
                <w:rFonts w:hint="eastAsia" w:ascii="宋体" w:hAnsi="宋体" w:cs="宋体"/>
                <w:color w:val="FF0000"/>
                <w:sz w:val="18"/>
                <w:szCs w:val="18"/>
              </w:rPr>
            </w:pPr>
            <w:r>
              <w:rPr>
                <w:rFonts w:hint="eastAsia" w:ascii="宋体" w:hAnsi="宋体" w:cs="宋体"/>
                <w:color w:val="FF0000"/>
                <w:sz w:val="18"/>
                <w:szCs w:val="18"/>
              </w:rPr>
              <w:t>承担</w:t>
            </w:r>
          </w:p>
          <w:p w14:paraId="685B3783">
            <w:pPr>
              <w:jc w:val="center"/>
              <w:rPr>
                <w:rFonts w:ascii="宋体" w:hAnsi="宋体" w:cs="宋体"/>
                <w:color w:val="FF0000"/>
                <w:sz w:val="18"/>
                <w:szCs w:val="18"/>
              </w:rPr>
            </w:pPr>
            <w:r>
              <w:rPr>
                <w:rFonts w:hint="eastAsia" w:ascii="宋体" w:hAnsi="宋体" w:cs="宋体"/>
                <w:color w:val="FF0000"/>
                <w:sz w:val="18"/>
                <w:szCs w:val="18"/>
              </w:rPr>
              <w:t>科室</w:t>
            </w:r>
          </w:p>
        </w:tc>
        <w:tc>
          <w:tcPr>
            <w:tcW w:w="1260" w:type="dxa"/>
            <w:noWrap w:val="0"/>
            <w:vAlign w:val="center"/>
          </w:tcPr>
          <w:p w14:paraId="20B81223">
            <w:pPr>
              <w:jc w:val="center"/>
              <w:rPr>
                <w:rFonts w:hint="eastAsia" w:ascii="宋体" w:hAnsi="宋体" w:cs="宋体"/>
                <w:color w:val="FF0000"/>
                <w:sz w:val="18"/>
                <w:szCs w:val="18"/>
              </w:rPr>
            </w:pPr>
            <w:r>
              <w:rPr>
                <w:rFonts w:hint="eastAsia" w:ascii="宋体" w:hAnsi="宋体" w:cs="宋体"/>
                <w:color w:val="FF0000"/>
                <w:sz w:val="18"/>
                <w:szCs w:val="18"/>
              </w:rPr>
              <w:t>培训</w:t>
            </w:r>
          </w:p>
          <w:p w14:paraId="4AF1A78D">
            <w:pPr>
              <w:jc w:val="center"/>
              <w:rPr>
                <w:rFonts w:ascii="宋体" w:hAnsi="宋体" w:cs="宋体"/>
                <w:color w:val="FF0000"/>
                <w:sz w:val="18"/>
                <w:szCs w:val="18"/>
              </w:rPr>
            </w:pPr>
            <w:r>
              <w:rPr>
                <w:rFonts w:hint="eastAsia" w:ascii="宋体" w:hAnsi="宋体" w:cs="宋体"/>
                <w:color w:val="FF0000"/>
                <w:sz w:val="18"/>
                <w:szCs w:val="18"/>
              </w:rPr>
              <w:t>时间</w:t>
            </w:r>
          </w:p>
        </w:tc>
        <w:tc>
          <w:tcPr>
            <w:tcW w:w="705" w:type="dxa"/>
            <w:noWrap w:val="0"/>
            <w:vAlign w:val="center"/>
          </w:tcPr>
          <w:p w14:paraId="53646974">
            <w:pPr>
              <w:jc w:val="center"/>
              <w:rPr>
                <w:rFonts w:hint="eastAsia" w:ascii="宋体" w:hAnsi="宋体" w:cs="宋体"/>
                <w:color w:val="FF0000"/>
                <w:sz w:val="18"/>
                <w:szCs w:val="18"/>
              </w:rPr>
            </w:pPr>
            <w:r>
              <w:rPr>
                <w:rFonts w:hint="eastAsia" w:ascii="宋体" w:hAnsi="宋体" w:cs="宋体"/>
                <w:color w:val="FF0000"/>
                <w:sz w:val="18"/>
                <w:szCs w:val="18"/>
              </w:rPr>
              <w:t>招生</w:t>
            </w:r>
          </w:p>
          <w:p w14:paraId="6B38FAE5">
            <w:pPr>
              <w:jc w:val="center"/>
              <w:rPr>
                <w:rFonts w:ascii="宋体" w:hAnsi="宋体" w:cs="宋体"/>
                <w:color w:val="FF0000"/>
                <w:sz w:val="18"/>
                <w:szCs w:val="18"/>
              </w:rPr>
            </w:pPr>
            <w:r>
              <w:rPr>
                <w:rFonts w:hint="eastAsia" w:ascii="宋体" w:hAnsi="宋体" w:cs="宋体"/>
                <w:color w:val="FF0000"/>
                <w:sz w:val="18"/>
                <w:szCs w:val="18"/>
              </w:rPr>
              <w:t>人数</w:t>
            </w:r>
          </w:p>
        </w:tc>
        <w:tc>
          <w:tcPr>
            <w:tcW w:w="1353" w:type="dxa"/>
            <w:noWrap w:val="0"/>
            <w:vAlign w:val="center"/>
          </w:tcPr>
          <w:p w14:paraId="4CAE0672">
            <w:pPr>
              <w:jc w:val="center"/>
              <w:rPr>
                <w:rFonts w:hint="eastAsia" w:ascii="宋体" w:hAnsi="宋体" w:cs="宋体"/>
                <w:color w:val="FF0000"/>
                <w:sz w:val="18"/>
                <w:szCs w:val="18"/>
              </w:rPr>
            </w:pPr>
            <w:r>
              <w:rPr>
                <w:rFonts w:hint="eastAsia" w:ascii="宋体" w:hAnsi="宋体" w:cs="宋体"/>
                <w:color w:val="FF0000"/>
                <w:sz w:val="18"/>
                <w:szCs w:val="18"/>
              </w:rPr>
              <w:t>负责人及</w:t>
            </w:r>
          </w:p>
          <w:p w14:paraId="2D1401F8">
            <w:pPr>
              <w:jc w:val="center"/>
              <w:rPr>
                <w:rFonts w:ascii="宋体" w:hAnsi="宋体" w:cs="宋体"/>
                <w:color w:val="FF0000"/>
                <w:sz w:val="18"/>
                <w:szCs w:val="18"/>
              </w:rPr>
            </w:pPr>
            <w:r>
              <w:rPr>
                <w:rFonts w:hint="eastAsia" w:ascii="宋体" w:hAnsi="宋体" w:cs="宋体"/>
                <w:color w:val="FF0000"/>
                <w:sz w:val="18"/>
                <w:szCs w:val="18"/>
              </w:rPr>
              <w:t>联系方式</w:t>
            </w:r>
          </w:p>
        </w:tc>
        <w:tc>
          <w:tcPr>
            <w:tcW w:w="632" w:type="dxa"/>
            <w:noWrap w:val="0"/>
            <w:vAlign w:val="center"/>
          </w:tcPr>
          <w:p w14:paraId="61094793">
            <w:pPr>
              <w:jc w:val="center"/>
              <w:rPr>
                <w:rFonts w:hint="eastAsia" w:ascii="宋体" w:hAnsi="宋体" w:cs="宋体"/>
                <w:color w:val="FF0000"/>
                <w:sz w:val="18"/>
                <w:szCs w:val="18"/>
              </w:rPr>
            </w:pPr>
            <w:r>
              <w:rPr>
                <w:rFonts w:hint="eastAsia" w:ascii="宋体" w:hAnsi="宋体" w:cs="宋体"/>
                <w:color w:val="FF0000"/>
                <w:sz w:val="18"/>
                <w:szCs w:val="18"/>
              </w:rPr>
              <w:t>培训</w:t>
            </w:r>
          </w:p>
          <w:p w14:paraId="52FC1D60">
            <w:pPr>
              <w:jc w:val="center"/>
              <w:rPr>
                <w:rFonts w:ascii="宋体" w:hAnsi="宋体" w:cs="宋体"/>
                <w:color w:val="FF0000"/>
                <w:sz w:val="18"/>
                <w:szCs w:val="18"/>
              </w:rPr>
            </w:pPr>
            <w:r>
              <w:rPr>
                <w:rFonts w:hint="eastAsia" w:ascii="宋体" w:hAnsi="宋体" w:cs="宋体"/>
                <w:color w:val="FF0000"/>
                <w:sz w:val="18"/>
                <w:szCs w:val="18"/>
              </w:rPr>
              <w:t>费用</w:t>
            </w:r>
          </w:p>
        </w:tc>
      </w:tr>
      <w:tr w14:paraId="6A99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4" w:type="dxa"/>
            <w:noWrap w:val="0"/>
            <w:vAlign w:val="center"/>
          </w:tcPr>
          <w:p w14:paraId="57BAFEF6">
            <w:pPr>
              <w:jc w:val="center"/>
              <w:rPr>
                <w:rFonts w:ascii="宋体" w:hAnsi="宋体" w:cs="宋体"/>
                <w:color w:val="FF0000"/>
                <w:sz w:val="18"/>
                <w:szCs w:val="18"/>
              </w:rPr>
            </w:pPr>
            <w:r>
              <w:rPr>
                <w:rFonts w:hint="eastAsia" w:ascii="宋体" w:hAnsi="宋体" w:cs="宋体"/>
                <w:color w:val="FF0000"/>
                <w:sz w:val="18"/>
                <w:szCs w:val="18"/>
              </w:rPr>
              <w:t>1</w:t>
            </w:r>
          </w:p>
        </w:tc>
        <w:tc>
          <w:tcPr>
            <w:tcW w:w="2951" w:type="dxa"/>
            <w:noWrap w:val="0"/>
            <w:vAlign w:val="center"/>
          </w:tcPr>
          <w:p w14:paraId="4382AEF8">
            <w:pPr>
              <w:jc w:val="center"/>
              <w:rPr>
                <w:rFonts w:hint="eastAsia" w:ascii="宋体" w:hAnsi="宋体" w:cs="宋体"/>
                <w:color w:val="FF0000"/>
                <w:sz w:val="18"/>
                <w:szCs w:val="18"/>
              </w:rPr>
            </w:pPr>
            <w:r>
              <w:rPr>
                <w:b w:val="0"/>
                <w:bCs/>
                <w:color w:val="FF0000"/>
                <w:position w:val="1"/>
                <w:sz w:val="21"/>
              </w:rPr>
              <w:t>放射肿瘤治疗技术</w:t>
            </w:r>
            <w:r>
              <w:rPr>
                <w:b w:val="0"/>
                <w:bCs/>
                <w:color w:val="FF0000"/>
                <w:sz w:val="21"/>
              </w:rPr>
              <w:t xml:space="preserve"> </w:t>
            </w:r>
          </w:p>
        </w:tc>
        <w:tc>
          <w:tcPr>
            <w:tcW w:w="1184" w:type="dxa"/>
            <w:noWrap w:val="0"/>
            <w:vAlign w:val="center"/>
          </w:tcPr>
          <w:p w14:paraId="08D84BE2">
            <w:pPr>
              <w:jc w:val="center"/>
              <w:rPr>
                <w:rFonts w:ascii="宋体" w:hAnsi="宋体" w:cs="宋体"/>
                <w:color w:val="FF0000"/>
                <w:sz w:val="18"/>
                <w:szCs w:val="18"/>
              </w:rPr>
            </w:pPr>
            <w:r>
              <w:rPr>
                <w:rFonts w:hint="eastAsia" w:ascii="宋体" w:hAnsi="宋体" w:cs="宋体"/>
                <w:color w:val="FF0000"/>
                <w:sz w:val="18"/>
                <w:szCs w:val="18"/>
              </w:rPr>
              <w:t>肿瘤多学科诊疗中心</w:t>
            </w:r>
          </w:p>
        </w:tc>
        <w:tc>
          <w:tcPr>
            <w:tcW w:w="1260" w:type="dxa"/>
            <w:noWrap w:val="0"/>
            <w:vAlign w:val="center"/>
          </w:tcPr>
          <w:p w14:paraId="371756F6">
            <w:pPr>
              <w:jc w:val="center"/>
              <w:rPr>
                <w:rFonts w:hint="eastAsia" w:ascii="宋体" w:hAnsi="宋体" w:cs="宋体"/>
                <w:color w:val="FF0000"/>
                <w:sz w:val="18"/>
                <w:szCs w:val="18"/>
              </w:rPr>
            </w:pPr>
            <w:r>
              <w:rPr>
                <w:rFonts w:hint="eastAsia" w:ascii="宋体" w:hAnsi="宋体" w:cs="宋体"/>
                <w:color w:val="FF0000"/>
                <w:sz w:val="18"/>
                <w:szCs w:val="18"/>
              </w:rPr>
              <w:t>202</w:t>
            </w:r>
            <w:r>
              <w:rPr>
                <w:rFonts w:hint="eastAsia" w:ascii="宋体" w:hAnsi="宋体" w:cs="宋体"/>
                <w:color w:val="FF0000"/>
                <w:sz w:val="18"/>
                <w:szCs w:val="18"/>
                <w:lang w:val="en-US" w:eastAsia="zh-CN"/>
              </w:rPr>
              <w:t>5</w:t>
            </w:r>
            <w:r>
              <w:rPr>
                <w:rFonts w:hint="eastAsia" w:ascii="宋体" w:hAnsi="宋体" w:cs="宋体"/>
                <w:color w:val="FF0000"/>
                <w:sz w:val="18"/>
                <w:szCs w:val="18"/>
              </w:rPr>
              <w:t>.6.1-</w:t>
            </w:r>
          </w:p>
          <w:p w14:paraId="2DB297C2">
            <w:pPr>
              <w:jc w:val="center"/>
              <w:rPr>
                <w:rFonts w:ascii="宋体" w:hAnsi="宋体" w:cs="宋体"/>
                <w:color w:val="FF0000"/>
                <w:sz w:val="18"/>
                <w:szCs w:val="18"/>
              </w:rPr>
            </w:pPr>
            <w:r>
              <w:rPr>
                <w:rFonts w:hint="eastAsia" w:ascii="宋体" w:hAnsi="宋体" w:cs="宋体"/>
                <w:color w:val="FF0000"/>
                <w:sz w:val="18"/>
                <w:szCs w:val="18"/>
              </w:rPr>
              <w:t>202</w:t>
            </w:r>
            <w:r>
              <w:rPr>
                <w:rFonts w:hint="eastAsia" w:ascii="宋体" w:hAnsi="宋体" w:cs="宋体"/>
                <w:color w:val="FF0000"/>
                <w:sz w:val="18"/>
                <w:szCs w:val="18"/>
                <w:lang w:val="en-US" w:eastAsia="zh-CN"/>
              </w:rPr>
              <w:t>5</w:t>
            </w:r>
            <w:r>
              <w:rPr>
                <w:rFonts w:hint="eastAsia" w:ascii="宋体" w:hAnsi="宋体" w:cs="宋体"/>
                <w:color w:val="FF0000"/>
                <w:sz w:val="18"/>
                <w:szCs w:val="18"/>
              </w:rPr>
              <w:t>.11.30</w:t>
            </w:r>
          </w:p>
        </w:tc>
        <w:tc>
          <w:tcPr>
            <w:tcW w:w="705" w:type="dxa"/>
            <w:noWrap w:val="0"/>
            <w:vAlign w:val="center"/>
          </w:tcPr>
          <w:p w14:paraId="734D1BFE">
            <w:pPr>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10</w:t>
            </w:r>
          </w:p>
        </w:tc>
        <w:tc>
          <w:tcPr>
            <w:tcW w:w="1353" w:type="dxa"/>
            <w:noWrap w:val="0"/>
            <w:vAlign w:val="center"/>
          </w:tcPr>
          <w:p w14:paraId="6A95F1C1">
            <w:pPr>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李振坤</w:t>
            </w:r>
          </w:p>
          <w:p w14:paraId="7A853A9F">
            <w:pPr>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15877931230</w:t>
            </w:r>
          </w:p>
        </w:tc>
        <w:tc>
          <w:tcPr>
            <w:tcW w:w="632" w:type="dxa"/>
            <w:noWrap w:val="0"/>
            <w:vAlign w:val="center"/>
          </w:tcPr>
          <w:p w14:paraId="3A30693E">
            <w:pPr>
              <w:jc w:val="center"/>
              <w:rPr>
                <w:rFonts w:ascii="宋体" w:hAnsi="宋体" w:cs="宋体"/>
                <w:color w:val="FF0000"/>
                <w:sz w:val="18"/>
                <w:szCs w:val="18"/>
              </w:rPr>
            </w:pPr>
            <w:r>
              <w:rPr>
                <w:rFonts w:hint="eastAsia" w:ascii="宋体" w:hAnsi="宋体" w:cs="宋体"/>
                <w:color w:val="FF0000"/>
                <w:sz w:val="18"/>
                <w:szCs w:val="18"/>
              </w:rPr>
              <w:t>免费</w:t>
            </w:r>
          </w:p>
        </w:tc>
      </w:tr>
    </w:tbl>
    <w:p w14:paraId="527785F0">
      <w:pPr>
        <w:ind w:firstLine="2560" w:firstLineChars="800"/>
        <w:rPr>
          <w:rFonts w:hint="eastAsia" w:ascii="黑体" w:hAnsi="黑体" w:eastAsia="黑体" w:cs="黑体"/>
          <w:sz w:val="32"/>
          <w:szCs w:val="32"/>
        </w:rPr>
      </w:pPr>
      <w:r>
        <w:rPr>
          <w:rFonts w:hint="eastAsia" w:ascii="黑体" w:hAnsi="黑体" w:eastAsia="黑体" w:cs="黑体"/>
          <w:color w:val="FF0000"/>
          <w:sz w:val="32"/>
          <w:szCs w:val="32"/>
        </w:rPr>
        <w:t>（202</w:t>
      </w:r>
      <w:r>
        <w:rPr>
          <w:rFonts w:hint="eastAsia" w:ascii="黑体" w:hAnsi="黑体" w:eastAsia="黑体" w:cs="黑体"/>
          <w:color w:val="FF0000"/>
          <w:sz w:val="32"/>
          <w:szCs w:val="32"/>
          <w:lang w:val="en-US" w:eastAsia="zh-CN"/>
        </w:rPr>
        <w:t>5</w:t>
      </w:r>
      <w:r>
        <w:rPr>
          <w:rFonts w:hint="eastAsia" w:ascii="黑体" w:hAnsi="黑体" w:eastAsia="黑体" w:cs="黑体"/>
          <w:color w:val="FF0000"/>
          <w:sz w:val="32"/>
          <w:szCs w:val="32"/>
        </w:rPr>
        <w:t>年202</w:t>
      </w:r>
      <w:r>
        <w:rPr>
          <w:rFonts w:hint="eastAsia" w:ascii="黑体" w:hAnsi="黑体" w:eastAsia="黑体" w:cs="黑体"/>
          <w:color w:val="FF0000"/>
          <w:sz w:val="32"/>
          <w:szCs w:val="32"/>
          <w:lang w:val="en-US" w:eastAsia="zh-CN"/>
        </w:rPr>
        <w:t>5</w:t>
      </w:r>
      <w:bookmarkStart w:id="1" w:name="_GoBack"/>
      <w:bookmarkEnd w:id="1"/>
      <w:r>
        <w:rPr>
          <w:rFonts w:hint="eastAsia" w:ascii="黑体" w:hAnsi="黑体" w:eastAsia="黑体" w:cs="黑体"/>
          <w:color w:val="FF0000"/>
          <w:sz w:val="32"/>
          <w:szCs w:val="32"/>
        </w:rPr>
        <w:t>02批次）</w:t>
      </w:r>
    </w:p>
    <w:tbl>
      <w:tblPr>
        <w:tblStyle w:val="5"/>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2951"/>
        <w:gridCol w:w="1184"/>
        <w:gridCol w:w="1260"/>
        <w:gridCol w:w="705"/>
        <w:gridCol w:w="1353"/>
        <w:gridCol w:w="632"/>
      </w:tblGrid>
      <w:tr w14:paraId="2EA9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4" w:type="dxa"/>
            <w:noWrap w:val="0"/>
            <w:vAlign w:val="center"/>
          </w:tcPr>
          <w:p w14:paraId="331A41F4">
            <w:pPr>
              <w:jc w:val="center"/>
              <w:rPr>
                <w:rFonts w:hint="eastAsia" w:ascii="宋体" w:hAnsi="宋体" w:cs="宋体"/>
                <w:color w:val="FF0000"/>
                <w:sz w:val="18"/>
                <w:szCs w:val="18"/>
              </w:rPr>
            </w:pPr>
            <w:r>
              <w:rPr>
                <w:rFonts w:hint="eastAsia" w:ascii="宋体" w:hAnsi="宋体" w:cs="宋体"/>
                <w:color w:val="FF0000"/>
                <w:sz w:val="18"/>
                <w:szCs w:val="18"/>
              </w:rPr>
              <w:t>序</w:t>
            </w:r>
          </w:p>
          <w:p w14:paraId="7E0297E4">
            <w:pPr>
              <w:jc w:val="center"/>
              <w:rPr>
                <w:rFonts w:hint="eastAsia" w:ascii="宋体" w:hAnsi="宋体" w:cs="宋体"/>
                <w:color w:val="FF0000"/>
                <w:sz w:val="18"/>
                <w:szCs w:val="18"/>
              </w:rPr>
            </w:pPr>
            <w:r>
              <w:rPr>
                <w:rFonts w:hint="eastAsia" w:ascii="宋体" w:hAnsi="宋体" w:cs="宋体"/>
                <w:color w:val="FF0000"/>
                <w:sz w:val="18"/>
                <w:szCs w:val="18"/>
              </w:rPr>
              <w:t>号</w:t>
            </w:r>
          </w:p>
        </w:tc>
        <w:tc>
          <w:tcPr>
            <w:tcW w:w="2951" w:type="dxa"/>
            <w:noWrap w:val="0"/>
            <w:vAlign w:val="center"/>
          </w:tcPr>
          <w:p w14:paraId="1B9EC6EC">
            <w:pPr>
              <w:jc w:val="center"/>
              <w:rPr>
                <w:rFonts w:hint="eastAsia" w:ascii="宋体" w:hAnsi="宋体" w:cs="宋体"/>
                <w:color w:val="FF0000"/>
                <w:sz w:val="18"/>
                <w:szCs w:val="18"/>
              </w:rPr>
            </w:pPr>
            <w:r>
              <w:rPr>
                <w:rFonts w:hint="eastAsia" w:ascii="宋体" w:hAnsi="宋体" w:cs="宋体"/>
                <w:color w:val="FF0000"/>
                <w:sz w:val="18"/>
                <w:szCs w:val="18"/>
              </w:rPr>
              <w:t>技术</w:t>
            </w:r>
          </w:p>
          <w:p w14:paraId="73169E2D">
            <w:pPr>
              <w:jc w:val="center"/>
              <w:rPr>
                <w:rFonts w:ascii="宋体" w:hAnsi="宋体" w:cs="宋体"/>
                <w:color w:val="FF0000"/>
                <w:sz w:val="18"/>
                <w:szCs w:val="18"/>
              </w:rPr>
            </w:pPr>
            <w:r>
              <w:rPr>
                <w:rFonts w:hint="eastAsia" w:ascii="宋体" w:hAnsi="宋体" w:cs="宋体"/>
                <w:color w:val="FF0000"/>
                <w:sz w:val="18"/>
                <w:szCs w:val="18"/>
              </w:rPr>
              <w:t>名称</w:t>
            </w:r>
          </w:p>
        </w:tc>
        <w:tc>
          <w:tcPr>
            <w:tcW w:w="1184" w:type="dxa"/>
            <w:noWrap w:val="0"/>
            <w:vAlign w:val="center"/>
          </w:tcPr>
          <w:p w14:paraId="25243289">
            <w:pPr>
              <w:jc w:val="center"/>
              <w:rPr>
                <w:rFonts w:hint="eastAsia" w:ascii="宋体" w:hAnsi="宋体" w:cs="宋体"/>
                <w:color w:val="FF0000"/>
                <w:sz w:val="18"/>
                <w:szCs w:val="18"/>
              </w:rPr>
            </w:pPr>
            <w:r>
              <w:rPr>
                <w:rFonts w:hint="eastAsia" w:ascii="宋体" w:hAnsi="宋体" w:cs="宋体"/>
                <w:color w:val="FF0000"/>
                <w:sz w:val="18"/>
                <w:szCs w:val="18"/>
              </w:rPr>
              <w:t>承担</w:t>
            </w:r>
          </w:p>
          <w:p w14:paraId="1A860540">
            <w:pPr>
              <w:jc w:val="center"/>
              <w:rPr>
                <w:rFonts w:ascii="宋体" w:hAnsi="宋体" w:cs="宋体"/>
                <w:color w:val="FF0000"/>
                <w:sz w:val="18"/>
                <w:szCs w:val="18"/>
              </w:rPr>
            </w:pPr>
            <w:r>
              <w:rPr>
                <w:rFonts w:hint="eastAsia" w:ascii="宋体" w:hAnsi="宋体" w:cs="宋体"/>
                <w:color w:val="FF0000"/>
                <w:sz w:val="18"/>
                <w:szCs w:val="18"/>
              </w:rPr>
              <w:t>科室</w:t>
            </w:r>
          </w:p>
        </w:tc>
        <w:tc>
          <w:tcPr>
            <w:tcW w:w="1260" w:type="dxa"/>
            <w:noWrap w:val="0"/>
            <w:vAlign w:val="center"/>
          </w:tcPr>
          <w:p w14:paraId="0BC835F6">
            <w:pPr>
              <w:jc w:val="center"/>
              <w:rPr>
                <w:rFonts w:hint="eastAsia" w:ascii="宋体" w:hAnsi="宋体" w:cs="宋体"/>
                <w:color w:val="FF0000"/>
                <w:sz w:val="18"/>
                <w:szCs w:val="18"/>
              </w:rPr>
            </w:pPr>
            <w:r>
              <w:rPr>
                <w:rFonts w:hint="eastAsia" w:ascii="宋体" w:hAnsi="宋体" w:cs="宋体"/>
                <w:color w:val="FF0000"/>
                <w:sz w:val="18"/>
                <w:szCs w:val="18"/>
              </w:rPr>
              <w:t>培训</w:t>
            </w:r>
          </w:p>
          <w:p w14:paraId="1250B299">
            <w:pPr>
              <w:jc w:val="center"/>
              <w:rPr>
                <w:rFonts w:ascii="宋体" w:hAnsi="宋体" w:cs="宋体"/>
                <w:color w:val="FF0000"/>
                <w:sz w:val="18"/>
                <w:szCs w:val="18"/>
              </w:rPr>
            </w:pPr>
            <w:r>
              <w:rPr>
                <w:rFonts w:hint="eastAsia" w:ascii="宋体" w:hAnsi="宋体" w:cs="宋体"/>
                <w:color w:val="FF0000"/>
                <w:sz w:val="18"/>
                <w:szCs w:val="18"/>
              </w:rPr>
              <w:t>时间</w:t>
            </w:r>
          </w:p>
        </w:tc>
        <w:tc>
          <w:tcPr>
            <w:tcW w:w="705" w:type="dxa"/>
            <w:noWrap w:val="0"/>
            <w:vAlign w:val="center"/>
          </w:tcPr>
          <w:p w14:paraId="50D0AB49">
            <w:pPr>
              <w:jc w:val="center"/>
              <w:rPr>
                <w:rFonts w:hint="eastAsia" w:ascii="宋体" w:hAnsi="宋体" w:cs="宋体"/>
                <w:color w:val="FF0000"/>
                <w:sz w:val="18"/>
                <w:szCs w:val="18"/>
              </w:rPr>
            </w:pPr>
            <w:r>
              <w:rPr>
                <w:rFonts w:hint="eastAsia" w:ascii="宋体" w:hAnsi="宋体" w:cs="宋体"/>
                <w:color w:val="FF0000"/>
                <w:sz w:val="18"/>
                <w:szCs w:val="18"/>
              </w:rPr>
              <w:t>招生</w:t>
            </w:r>
          </w:p>
          <w:p w14:paraId="10DC0907">
            <w:pPr>
              <w:jc w:val="center"/>
              <w:rPr>
                <w:rFonts w:ascii="宋体" w:hAnsi="宋体" w:cs="宋体"/>
                <w:color w:val="FF0000"/>
                <w:sz w:val="18"/>
                <w:szCs w:val="18"/>
              </w:rPr>
            </w:pPr>
            <w:r>
              <w:rPr>
                <w:rFonts w:hint="eastAsia" w:ascii="宋体" w:hAnsi="宋体" w:cs="宋体"/>
                <w:color w:val="FF0000"/>
                <w:sz w:val="18"/>
                <w:szCs w:val="18"/>
              </w:rPr>
              <w:t>人数</w:t>
            </w:r>
          </w:p>
        </w:tc>
        <w:tc>
          <w:tcPr>
            <w:tcW w:w="1353" w:type="dxa"/>
            <w:noWrap w:val="0"/>
            <w:vAlign w:val="center"/>
          </w:tcPr>
          <w:p w14:paraId="087802B7">
            <w:pPr>
              <w:jc w:val="center"/>
              <w:rPr>
                <w:rFonts w:hint="eastAsia" w:ascii="宋体" w:hAnsi="宋体" w:cs="宋体"/>
                <w:color w:val="FF0000"/>
                <w:sz w:val="18"/>
                <w:szCs w:val="18"/>
              </w:rPr>
            </w:pPr>
            <w:r>
              <w:rPr>
                <w:rFonts w:hint="eastAsia" w:ascii="宋体" w:hAnsi="宋体" w:cs="宋体"/>
                <w:color w:val="FF0000"/>
                <w:sz w:val="18"/>
                <w:szCs w:val="18"/>
              </w:rPr>
              <w:t>负责人及</w:t>
            </w:r>
          </w:p>
          <w:p w14:paraId="54A990AF">
            <w:pPr>
              <w:jc w:val="center"/>
              <w:rPr>
                <w:rFonts w:ascii="宋体" w:hAnsi="宋体" w:cs="宋体"/>
                <w:color w:val="FF0000"/>
                <w:sz w:val="18"/>
                <w:szCs w:val="18"/>
              </w:rPr>
            </w:pPr>
            <w:r>
              <w:rPr>
                <w:rFonts w:hint="eastAsia" w:ascii="宋体" w:hAnsi="宋体" w:cs="宋体"/>
                <w:color w:val="FF0000"/>
                <w:sz w:val="18"/>
                <w:szCs w:val="18"/>
              </w:rPr>
              <w:t>联系方式</w:t>
            </w:r>
          </w:p>
        </w:tc>
        <w:tc>
          <w:tcPr>
            <w:tcW w:w="632" w:type="dxa"/>
            <w:noWrap w:val="0"/>
            <w:vAlign w:val="center"/>
          </w:tcPr>
          <w:p w14:paraId="4B371621">
            <w:pPr>
              <w:jc w:val="center"/>
              <w:rPr>
                <w:rFonts w:hint="eastAsia" w:ascii="宋体" w:hAnsi="宋体" w:cs="宋体"/>
                <w:color w:val="FF0000"/>
                <w:sz w:val="18"/>
                <w:szCs w:val="18"/>
              </w:rPr>
            </w:pPr>
            <w:r>
              <w:rPr>
                <w:rFonts w:hint="eastAsia" w:ascii="宋体" w:hAnsi="宋体" w:cs="宋体"/>
                <w:color w:val="FF0000"/>
                <w:sz w:val="18"/>
                <w:szCs w:val="18"/>
              </w:rPr>
              <w:t>培训</w:t>
            </w:r>
          </w:p>
          <w:p w14:paraId="737284B5">
            <w:pPr>
              <w:jc w:val="center"/>
              <w:rPr>
                <w:rFonts w:ascii="宋体" w:hAnsi="宋体" w:cs="宋体"/>
                <w:color w:val="FF0000"/>
                <w:sz w:val="18"/>
                <w:szCs w:val="18"/>
              </w:rPr>
            </w:pPr>
            <w:r>
              <w:rPr>
                <w:rFonts w:hint="eastAsia" w:ascii="宋体" w:hAnsi="宋体" w:cs="宋体"/>
                <w:color w:val="FF0000"/>
                <w:sz w:val="18"/>
                <w:szCs w:val="18"/>
              </w:rPr>
              <w:t>费用</w:t>
            </w:r>
          </w:p>
        </w:tc>
      </w:tr>
      <w:tr w14:paraId="260C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4" w:type="dxa"/>
            <w:noWrap w:val="0"/>
            <w:vAlign w:val="center"/>
          </w:tcPr>
          <w:p w14:paraId="068B693B">
            <w:pPr>
              <w:jc w:val="center"/>
              <w:rPr>
                <w:rFonts w:ascii="宋体" w:hAnsi="宋体" w:cs="宋体"/>
                <w:color w:val="FF0000"/>
                <w:sz w:val="18"/>
                <w:szCs w:val="18"/>
              </w:rPr>
            </w:pPr>
            <w:r>
              <w:rPr>
                <w:rFonts w:hint="eastAsia" w:ascii="宋体" w:hAnsi="宋体" w:cs="宋体"/>
                <w:color w:val="FF0000"/>
                <w:sz w:val="18"/>
                <w:szCs w:val="18"/>
              </w:rPr>
              <w:t>1</w:t>
            </w:r>
          </w:p>
        </w:tc>
        <w:tc>
          <w:tcPr>
            <w:tcW w:w="2951" w:type="dxa"/>
            <w:noWrap w:val="0"/>
            <w:vAlign w:val="center"/>
          </w:tcPr>
          <w:p w14:paraId="0AE23102">
            <w:pPr>
              <w:jc w:val="center"/>
              <w:rPr>
                <w:rFonts w:hint="eastAsia" w:ascii="宋体" w:hAnsi="宋体" w:cs="宋体"/>
                <w:color w:val="FF0000"/>
                <w:sz w:val="18"/>
                <w:szCs w:val="18"/>
              </w:rPr>
            </w:pPr>
            <w:r>
              <w:rPr>
                <w:b w:val="0"/>
                <w:bCs/>
                <w:color w:val="FF0000"/>
                <w:position w:val="1"/>
                <w:sz w:val="21"/>
              </w:rPr>
              <w:t>放射肿瘤治疗技术</w:t>
            </w:r>
            <w:r>
              <w:rPr>
                <w:b w:val="0"/>
                <w:bCs/>
                <w:color w:val="FF0000"/>
                <w:sz w:val="21"/>
              </w:rPr>
              <w:t xml:space="preserve"> </w:t>
            </w:r>
          </w:p>
        </w:tc>
        <w:tc>
          <w:tcPr>
            <w:tcW w:w="1184" w:type="dxa"/>
            <w:noWrap w:val="0"/>
            <w:vAlign w:val="center"/>
          </w:tcPr>
          <w:p w14:paraId="5C9BC7DF">
            <w:pPr>
              <w:jc w:val="center"/>
              <w:rPr>
                <w:rFonts w:ascii="宋体" w:hAnsi="宋体" w:cs="宋体"/>
                <w:color w:val="FF0000"/>
                <w:sz w:val="18"/>
                <w:szCs w:val="18"/>
              </w:rPr>
            </w:pPr>
            <w:r>
              <w:rPr>
                <w:rFonts w:hint="eastAsia" w:ascii="宋体" w:hAnsi="宋体" w:cs="宋体"/>
                <w:color w:val="FF0000"/>
                <w:sz w:val="18"/>
                <w:szCs w:val="18"/>
              </w:rPr>
              <w:t>肿瘤多学科诊疗中心</w:t>
            </w:r>
          </w:p>
        </w:tc>
        <w:tc>
          <w:tcPr>
            <w:tcW w:w="1260" w:type="dxa"/>
            <w:noWrap w:val="0"/>
            <w:vAlign w:val="center"/>
          </w:tcPr>
          <w:p w14:paraId="0CE98948">
            <w:pPr>
              <w:jc w:val="center"/>
              <w:rPr>
                <w:rFonts w:hint="eastAsia" w:ascii="宋体" w:hAnsi="宋体" w:cs="宋体"/>
                <w:color w:val="FF0000"/>
                <w:sz w:val="18"/>
                <w:szCs w:val="18"/>
              </w:rPr>
            </w:pPr>
            <w:r>
              <w:rPr>
                <w:rFonts w:hint="eastAsia" w:ascii="宋体" w:hAnsi="宋体" w:cs="宋体"/>
                <w:color w:val="FF0000"/>
                <w:sz w:val="18"/>
                <w:szCs w:val="18"/>
              </w:rPr>
              <w:t>202</w:t>
            </w:r>
            <w:r>
              <w:rPr>
                <w:rFonts w:hint="eastAsia" w:ascii="宋体" w:hAnsi="宋体" w:cs="宋体"/>
                <w:color w:val="FF0000"/>
                <w:sz w:val="18"/>
                <w:szCs w:val="18"/>
                <w:lang w:val="en-US" w:eastAsia="zh-CN"/>
              </w:rPr>
              <w:t>5</w:t>
            </w:r>
            <w:r>
              <w:rPr>
                <w:rFonts w:hint="eastAsia" w:ascii="宋体" w:hAnsi="宋体" w:cs="宋体"/>
                <w:color w:val="FF0000"/>
                <w:sz w:val="18"/>
                <w:szCs w:val="18"/>
              </w:rPr>
              <w:t>.12.1-</w:t>
            </w:r>
          </w:p>
          <w:p w14:paraId="11905278">
            <w:pPr>
              <w:jc w:val="center"/>
              <w:rPr>
                <w:rFonts w:ascii="宋体" w:hAnsi="宋体" w:cs="宋体"/>
                <w:color w:val="FF0000"/>
                <w:sz w:val="18"/>
                <w:szCs w:val="18"/>
              </w:rPr>
            </w:pPr>
            <w:r>
              <w:rPr>
                <w:rFonts w:hint="eastAsia" w:ascii="宋体" w:hAnsi="宋体" w:cs="宋体"/>
                <w:color w:val="FF0000"/>
                <w:sz w:val="18"/>
                <w:szCs w:val="18"/>
              </w:rPr>
              <w:t>202</w:t>
            </w:r>
            <w:r>
              <w:rPr>
                <w:rFonts w:hint="eastAsia" w:ascii="宋体" w:hAnsi="宋体" w:cs="宋体"/>
                <w:color w:val="FF0000"/>
                <w:sz w:val="18"/>
                <w:szCs w:val="18"/>
                <w:lang w:val="en-US" w:eastAsia="zh-CN"/>
              </w:rPr>
              <w:t>6</w:t>
            </w:r>
            <w:r>
              <w:rPr>
                <w:rFonts w:hint="eastAsia" w:ascii="宋体" w:hAnsi="宋体" w:cs="宋体"/>
                <w:color w:val="FF0000"/>
                <w:sz w:val="18"/>
                <w:szCs w:val="18"/>
              </w:rPr>
              <w:t>.5.31</w:t>
            </w:r>
          </w:p>
        </w:tc>
        <w:tc>
          <w:tcPr>
            <w:tcW w:w="705" w:type="dxa"/>
            <w:noWrap w:val="0"/>
            <w:vAlign w:val="center"/>
          </w:tcPr>
          <w:p w14:paraId="4272BEA5">
            <w:pPr>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10</w:t>
            </w:r>
          </w:p>
        </w:tc>
        <w:tc>
          <w:tcPr>
            <w:tcW w:w="1353" w:type="dxa"/>
            <w:noWrap w:val="0"/>
            <w:vAlign w:val="center"/>
          </w:tcPr>
          <w:p w14:paraId="3ECF8618">
            <w:pPr>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李振坤</w:t>
            </w:r>
          </w:p>
          <w:p w14:paraId="7334C968">
            <w:pPr>
              <w:jc w:val="center"/>
              <w:rPr>
                <w:rFonts w:ascii="宋体" w:hAnsi="宋体" w:cs="宋体"/>
                <w:color w:val="FF0000"/>
                <w:sz w:val="18"/>
                <w:szCs w:val="18"/>
              </w:rPr>
            </w:pPr>
            <w:r>
              <w:rPr>
                <w:rFonts w:hint="eastAsia" w:ascii="宋体" w:hAnsi="宋体" w:cs="宋体"/>
                <w:color w:val="FF0000"/>
                <w:sz w:val="18"/>
                <w:szCs w:val="18"/>
                <w:lang w:val="en-US" w:eastAsia="zh-CN"/>
              </w:rPr>
              <w:t>15877931230</w:t>
            </w:r>
          </w:p>
        </w:tc>
        <w:tc>
          <w:tcPr>
            <w:tcW w:w="632" w:type="dxa"/>
            <w:noWrap w:val="0"/>
            <w:vAlign w:val="center"/>
          </w:tcPr>
          <w:p w14:paraId="173C62DA">
            <w:pPr>
              <w:jc w:val="center"/>
              <w:rPr>
                <w:rFonts w:ascii="宋体" w:hAnsi="宋体" w:cs="宋体"/>
                <w:color w:val="FF0000"/>
                <w:sz w:val="18"/>
                <w:szCs w:val="18"/>
              </w:rPr>
            </w:pPr>
            <w:r>
              <w:rPr>
                <w:rFonts w:hint="eastAsia" w:ascii="宋体" w:hAnsi="宋体" w:cs="宋体"/>
                <w:color w:val="FF0000"/>
                <w:sz w:val="18"/>
                <w:szCs w:val="18"/>
              </w:rPr>
              <w:t>免费</w:t>
            </w:r>
          </w:p>
        </w:tc>
      </w:tr>
    </w:tbl>
    <w:p w14:paraId="3E40F307">
      <w:pPr>
        <w:ind w:firstLine="640" w:firstLineChars="200"/>
        <w:rPr>
          <w:rFonts w:hint="eastAsia" w:ascii="黑体" w:hAnsi="黑体" w:eastAsia="黑体" w:cs="黑体"/>
          <w:sz w:val="32"/>
          <w:szCs w:val="32"/>
        </w:rPr>
      </w:pPr>
    </w:p>
    <w:p w14:paraId="6CAA65AA">
      <w:pPr>
        <w:tabs>
          <w:tab w:val="left" w:pos="1682"/>
        </w:tabs>
        <w:spacing w:line="360" w:lineRule="auto"/>
        <w:ind w:firstLine="640" w:firstLineChars="200"/>
        <w:rPr>
          <w:rFonts w:hint="eastAsia" w:ascii="微软雅黑" w:hAnsi="微软雅黑" w:eastAsia="微软雅黑" w:cs="微软雅黑"/>
          <w:i w:val="0"/>
          <w:caps w:val="0"/>
          <w:color w:val="000000"/>
          <w:spacing w:val="0"/>
          <w:sz w:val="32"/>
          <w:szCs w:val="32"/>
          <w:shd w:val="clear" w:color="auto" w:fill="FFFFFF"/>
        </w:rPr>
      </w:pPr>
      <w:r>
        <w:rPr>
          <w:rFonts w:hint="eastAsia" w:ascii="微软雅黑" w:hAnsi="微软雅黑" w:eastAsia="微软雅黑" w:cs="微软雅黑"/>
          <w:i w:val="0"/>
          <w:caps w:val="0"/>
          <w:color w:val="000000"/>
          <w:spacing w:val="0"/>
          <w:sz w:val="32"/>
          <w:szCs w:val="32"/>
          <w:shd w:val="clear" w:color="auto" w:fill="FFFFFF"/>
        </w:rPr>
        <w:t>二、基地特色</w:t>
      </w:r>
    </w:p>
    <w:p w14:paraId="64484C14">
      <w:pPr>
        <w:tabs>
          <w:tab w:val="left" w:pos="1682"/>
        </w:tabs>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i w:val="0"/>
          <w:caps w:val="0"/>
          <w:color w:val="000000"/>
          <w:spacing w:val="0"/>
          <w:sz w:val="32"/>
          <w:szCs w:val="32"/>
          <w:shd w:val="clear" w:color="auto" w:fill="FFFFFF"/>
        </w:rPr>
        <w:t>昆明医科大学第二附属医院肿瘤</w:t>
      </w:r>
      <w:r>
        <w:rPr>
          <w:rFonts w:hint="eastAsia" w:ascii="仿宋" w:hAnsi="仿宋" w:eastAsia="仿宋" w:cs="仿宋"/>
          <w:b/>
          <w:bCs/>
          <w:i w:val="0"/>
          <w:caps w:val="0"/>
          <w:color w:val="000000"/>
          <w:spacing w:val="0"/>
          <w:sz w:val="32"/>
          <w:szCs w:val="32"/>
          <w:shd w:val="clear" w:color="auto" w:fill="FFFFFF"/>
          <w:lang w:val="en-US" w:eastAsia="zh-CN"/>
        </w:rPr>
        <w:t>多学科诊疗中心</w:t>
      </w:r>
      <w:r>
        <w:rPr>
          <w:rFonts w:hint="eastAsia" w:ascii="仿宋" w:hAnsi="仿宋" w:eastAsia="仿宋" w:cs="仿宋"/>
          <w:b/>
          <w:bCs/>
          <w:i w:val="0"/>
          <w:caps w:val="0"/>
          <w:color w:val="000000"/>
          <w:spacing w:val="0"/>
          <w:sz w:val="32"/>
          <w:szCs w:val="32"/>
          <w:shd w:val="clear" w:color="auto" w:fill="FFFFFF"/>
        </w:rPr>
        <w:t>，前身是1999年成立的云南省伽玛刀治疗中心，是云南省最早使用伽玛刀精确放疗技术治疗肿瘤的单位。经过20多年的发展，目前已</w:t>
      </w:r>
      <w:r>
        <w:rPr>
          <w:rFonts w:hint="eastAsia" w:ascii="仿宋" w:hAnsi="仿宋" w:eastAsia="仿宋" w:cs="仿宋"/>
          <w:b/>
          <w:bCs/>
          <w:i w:val="0"/>
          <w:caps w:val="0"/>
          <w:color w:val="000000"/>
          <w:spacing w:val="0"/>
          <w:sz w:val="32"/>
          <w:szCs w:val="32"/>
          <w:shd w:val="clear" w:color="auto" w:fill="FFFFFF"/>
          <w:lang w:val="en-US" w:eastAsia="zh-CN"/>
        </w:rPr>
        <w:t>拥有</w:t>
      </w:r>
      <w:r>
        <w:rPr>
          <w:rFonts w:hint="eastAsia" w:ascii="仿宋" w:hAnsi="仿宋" w:eastAsia="仿宋" w:cs="仿宋"/>
          <w:b/>
          <w:bCs/>
          <w:i w:val="0"/>
          <w:caps w:val="0"/>
          <w:color w:val="000000"/>
          <w:spacing w:val="0"/>
          <w:sz w:val="32"/>
          <w:szCs w:val="32"/>
          <w:shd w:val="clear" w:color="auto" w:fill="FFFFFF"/>
        </w:rPr>
        <w:t>头部伽</w:t>
      </w:r>
      <w:r>
        <w:rPr>
          <w:rFonts w:hint="eastAsia" w:ascii="仿宋" w:hAnsi="仿宋" w:eastAsia="仿宋" w:cs="仿宋"/>
          <w:b/>
          <w:bCs/>
          <w:i w:val="0"/>
          <w:caps w:val="0"/>
          <w:color w:val="000000"/>
          <w:spacing w:val="0"/>
          <w:sz w:val="32"/>
          <w:szCs w:val="32"/>
          <w:shd w:val="clear" w:color="auto" w:fill="FFFFFF"/>
          <w:lang w:val="en-US" w:eastAsia="zh-CN"/>
        </w:rPr>
        <w:t>玛</w:t>
      </w:r>
      <w:r>
        <w:rPr>
          <w:rFonts w:hint="eastAsia" w:ascii="仿宋" w:hAnsi="仿宋" w:eastAsia="仿宋" w:cs="仿宋"/>
          <w:b/>
          <w:bCs/>
          <w:i w:val="0"/>
          <w:caps w:val="0"/>
          <w:color w:val="000000"/>
          <w:spacing w:val="0"/>
          <w:sz w:val="32"/>
          <w:szCs w:val="32"/>
          <w:shd w:val="clear" w:color="auto" w:fill="FFFFFF"/>
        </w:rPr>
        <w:t>刀、新一代INFINITY直线加速器</w:t>
      </w:r>
      <w:r>
        <w:rPr>
          <w:rFonts w:hint="eastAsia" w:ascii="仿宋" w:hAnsi="仿宋" w:eastAsia="仿宋" w:cs="仿宋"/>
          <w:b/>
          <w:bCs/>
          <w:i w:val="0"/>
          <w:caps w:val="0"/>
          <w:color w:val="000000"/>
          <w:spacing w:val="0"/>
          <w:sz w:val="32"/>
          <w:szCs w:val="32"/>
          <w:shd w:val="clear" w:color="auto" w:fill="FFFFFF"/>
          <w:lang w:eastAsia="zh-CN"/>
        </w:rPr>
        <w:t>、</w:t>
      </w:r>
      <w:r>
        <w:rPr>
          <w:rFonts w:hint="eastAsia" w:ascii="仿宋" w:hAnsi="仿宋" w:eastAsia="仿宋" w:cs="仿宋"/>
          <w:b/>
          <w:bCs/>
          <w:i w:val="0"/>
          <w:caps w:val="0"/>
          <w:color w:val="000000"/>
          <w:spacing w:val="0"/>
          <w:sz w:val="32"/>
          <w:szCs w:val="32"/>
          <w:shd w:val="clear" w:color="auto" w:fill="FFFFFF"/>
          <w:lang w:val="en-US" w:eastAsia="zh-CN"/>
        </w:rPr>
        <w:t>DSA、大孔径CT、多功能超声仪、射频消融机等大型医用设备</w:t>
      </w:r>
      <w:r>
        <w:rPr>
          <w:rFonts w:hint="eastAsia" w:ascii="仿宋" w:hAnsi="仿宋" w:eastAsia="仿宋" w:cs="仿宋"/>
          <w:b/>
          <w:bCs/>
          <w:i w:val="0"/>
          <w:caps w:val="0"/>
          <w:color w:val="000000"/>
          <w:spacing w:val="0"/>
          <w:sz w:val="32"/>
          <w:szCs w:val="32"/>
          <w:shd w:val="clear" w:color="auto" w:fill="FFFFFF"/>
        </w:rPr>
        <w:t>。目前在编床位6</w:t>
      </w:r>
      <w:r>
        <w:rPr>
          <w:rFonts w:hint="eastAsia" w:ascii="仿宋" w:hAnsi="仿宋" w:eastAsia="仿宋" w:cs="仿宋"/>
          <w:b/>
          <w:bCs/>
          <w:i w:val="0"/>
          <w:caps w:val="0"/>
          <w:color w:val="000000"/>
          <w:spacing w:val="0"/>
          <w:sz w:val="32"/>
          <w:szCs w:val="32"/>
          <w:shd w:val="clear" w:color="auto" w:fill="FFFFFF"/>
          <w:lang w:val="en-US" w:eastAsia="zh-CN"/>
        </w:rPr>
        <w:t>8</w:t>
      </w:r>
      <w:r>
        <w:rPr>
          <w:rFonts w:hint="eastAsia" w:ascii="仿宋" w:hAnsi="仿宋" w:eastAsia="仿宋" w:cs="仿宋"/>
          <w:b/>
          <w:bCs/>
          <w:i w:val="0"/>
          <w:caps w:val="0"/>
          <w:color w:val="000000"/>
          <w:spacing w:val="0"/>
          <w:sz w:val="32"/>
          <w:szCs w:val="32"/>
          <w:shd w:val="clear" w:color="auto" w:fill="FFFFFF"/>
        </w:rPr>
        <w:t>张，开放床位1</w:t>
      </w:r>
      <w:r>
        <w:rPr>
          <w:rFonts w:hint="eastAsia" w:ascii="仿宋" w:hAnsi="仿宋" w:eastAsia="仿宋" w:cs="仿宋"/>
          <w:b/>
          <w:bCs/>
          <w:i w:val="0"/>
          <w:caps w:val="0"/>
          <w:color w:val="000000"/>
          <w:spacing w:val="0"/>
          <w:sz w:val="32"/>
          <w:szCs w:val="32"/>
          <w:shd w:val="clear" w:color="auto" w:fill="FFFFFF"/>
          <w:lang w:val="en-US" w:eastAsia="zh-CN"/>
        </w:rPr>
        <w:t>2</w:t>
      </w:r>
      <w:r>
        <w:rPr>
          <w:rFonts w:hint="eastAsia" w:ascii="仿宋" w:hAnsi="仿宋" w:eastAsia="仿宋" w:cs="仿宋"/>
          <w:b/>
          <w:bCs/>
          <w:i w:val="0"/>
          <w:caps w:val="0"/>
          <w:color w:val="000000"/>
          <w:spacing w:val="0"/>
          <w:sz w:val="32"/>
          <w:szCs w:val="32"/>
          <w:shd w:val="clear" w:color="auto" w:fill="FFFFFF"/>
        </w:rPr>
        <w:t>0张</w:t>
      </w:r>
      <w:r>
        <w:rPr>
          <w:rFonts w:hint="eastAsia" w:ascii="仿宋" w:hAnsi="仿宋" w:eastAsia="仿宋" w:cs="仿宋"/>
          <w:b/>
          <w:bCs/>
          <w:i w:val="0"/>
          <w:caps w:val="0"/>
          <w:color w:val="000000"/>
          <w:spacing w:val="0"/>
          <w:sz w:val="32"/>
          <w:szCs w:val="32"/>
          <w:shd w:val="clear" w:color="auto" w:fill="FFFFFF"/>
          <w:lang w:eastAsia="zh-CN"/>
        </w:rPr>
        <w:t>；</w:t>
      </w:r>
      <w:r>
        <w:rPr>
          <w:rFonts w:hint="eastAsia" w:ascii="仿宋" w:hAnsi="仿宋" w:eastAsia="仿宋" w:cs="仿宋"/>
          <w:b/>
          <w:bCs/>
          <w:sz w:val="32"/>
          <w:szCs w:val="32"/>
          <w:lang w:val="en-US" w:eastAsia="zh-CN"/>
        </w:rPr>
        <w:t>医、护、技、物理师共60余人，其中博士4人，正高5人、副高4人；能开展放射肿瘤治疗技术、</w:t>
      </w:r>
      <w:r>
        <w:rPr>
          <w:rFonts w:hint="eastAsia" w:ascii="仿宋" w:hAnsi="仿宋" w:eastAsia="仿宋" w:cs="仿宋"/>
          <w:b/>
          <w:bCs/>
          <w:sz w:val="32"/>
          <w:szCs w:val="32"/>
        </w:rPr>
        <w:t>肿瘤消融治疗技术</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综合介入治疗、外周血管介入诊疗等限制类医疗技术</w:t>
      </w:r>
      <w:r>
        <w:rPr>
          <w:rFonts w:hint="eastAsia" w:ascii="仿宋" w:hAnsi="仿宋" w:eastAsia="仿宋" w:cs="仿宋"/>
          <w:b/>
          <w:bCs/>
          <w:i w:val="0"/>
          <w:caps w:val="0"/>
          <w:color w:val="000000"/>
          <w:spacing w:val="0"/>
          <w:sz w:val="32"/>
          <w:szCs w:val="32"/>
          <w:shd w:val="clear" w:color="auto" w:fill="FFFFFF"/>
          <w:lang w:eastAsia="zh-CN"/>
        </w:rPr>
        <w:t>。</w:t>
      </w:r>
      <w:r>
        <w:rPr>
          <w:rFonts w:hint="eastAsia" w:ascii="仿宋" w:hAnsi="仿宋" w:eastAsia="仿宋" w:cs="仿宋"/>
          <w:b/>
          <w:bCs/>
          <w:i w:val="0"/>
          <w:caps w:val="0"/>
          <w:color w:val="000000"/>
          <w:spacing w:val="0"/>
          <w:sz w:val="32"/>
          <w:szCs w:val="32"/>
          <w:shd w:val="clear" w:color="auto" w:fill="FFFFFF"/>
        </w:rPr>
        <w:t>此外还有日间化疗病房，年均门诊量7000余人次，年出院病人5000余人次。已开展γ射线立体定向放射治疗1.2万余例、直线加速器调强放射治疗1800余例，其中基于大孔径模拟定位CT开展的呼吸门控或4D-CT的SBRT精准放疗技术有200余例。科室已建成以医疗、教学、科研为主导的放疗、化疗、日间化疗、</w:t>
      </w:r>
      <w:r>
        <w:rPr>
          <w:rFonts w:hint="eastAsia" w:ascii="仿宋" w:hAnsi="仿宋" w:eastAsia="仿宋" w:cs="仿宋"/>
          <w:b/>
          <w:bCs/>
          <w:i w:val="0"/>
          <w:caps w:val="0"/>
          <w:color w:val="000000"/>
          <w:spacing w:val="0"/>
          <w:sz w:val="32"/>
          <w:szCs w:val="32"/>
          <w:shd w:val="clear" w:color="auto" w:fill="FFFFFF"/>
          <w:lang w:val="en-US" w:eastAsia="zh-CN"/>
        </w:rPr>
        <w:t>放射介入、超声介入、</w:t>
      </w:r>
      <w:r>
        <w:rPr>
          <w:rFonts w:hint="eastAsia" w:ascii="仿宋" w:hAnsi="仿宋" w:eastAsia="仿宋" w:cs="仿宋"/>
          <w:b/>
          <w:bCs/>
          <w:sz w:val="32"/>
          <w:szCs w:val="32"/>
        </w:rPr>
        <w:t>肿瘤消融治疗</w:t>
      </w:r>
      <w:r>
        <w:rPr>
          <w:rFonts w:hint="eastAsia" w:ascii="仿宋" w:hAnsi="仿宋" w:eastAsia="仿宋" w:cs="仿宋"/>
          <w:b/>
          <w:bCs/>
          <w:i w:val="0"/>
          <w:caps w:val="0"/>
          <w:color w:val="000000"/>
          <w:spacing w:val="0"/>
          <w:sz w:val="32"/>
          <w:szCs w:val="32"/>
          <w:shd w:val="clear" w:color="auto" w:fill="FFFFFF"/>
          <w:lang w:eastAsia="zh-CN"/>
        </w:rPr>
        <w:t>、</w:t>
      </w:r>
      <w:r>
        <w:rPr>
          <w:rFonts w:hint="eastAsia" w:ascii="仿宋" w:hAnsi="仿宋" w:eastAsia="仿宋" w:cs="仿宋"/>
          <w:b/>
          <w:bCs/>
          <w:i w:val="0"/>
          <w:caps w:val="0"/>
          <w:color w:val="000000"/>
          <w:spacing w:val="0"/>
          <w:sz w:val="32"/>
          <w:szCs w:val="32"/>
          <w:shd w:val="clear" w:color="auto" w:fill="FFFFFF"/>
        </w:rPr>
        <w:t>生物靶向、免疫治疗等为一体的肿瘤综合专科病房，专科服务能力居全省前列</w:t>
      </w:r>
      <w:bookmarkStart w:id="0" w:name="_GoBack"/>
      <w:bookmarkEnd w:id="0"/>
      <w:r>
        <w:rPr>
          <w:rFonts w:hint="eastAsia" w:ascii="仿宋" w:hAnsi="仿宋" w:eastAsia="仿宋" w:cs="仿宋"/>
          <w:b/>
          <w:bCs/>
          <w:i w:val="0"/>
          <w:caps w:val="0"/>
          <w:color w:val="000000"/>
          <w:spacing w:val="0"/>
          <w:sz w:val="32"/>
          <w:szCs w:val="32"/>
          <w:shd w:val="clear" w:color="auto" w:fill="FFFFFF"/>
          <w:lang w:eastAsia="zh-CN"/>
        </w:rPr>
        <w:t>，</w:t>
      </w:r>
      <w:r>
        <w:rPr>
          <w:rFonts w:hint="eastAsia" w:ascii="仿宋" w:hAnsi="仿宋" w:eastAsia="仿宋" w:cs="仿宋"/>
          <w:b/>
          <w:bCs/>
          <w:sz w:val="32"/>
          <w:szCs w:val="32"/>
          <w:lang w:val="en-US" w:eastAsia="zh-CN"/>
        </w:rPr>
        <w:t>目前</w:t>
      </w:r>
      <w:r>
        <w:rPr>
          <w:rFonts w:hint="eastAsia" w:ascii="仿宋" w:hAnsi="仿宋" w:eastAsia="仿宋" w:cs="仿宋"/>
          <w:b/>
          <w:bCs/>
          <w:sz w:val="32"/>
          <w:szCs w:val="32"/>
        </w:rPr>
        <w:t>肿瘤多学科诊疗中心具有人员梯队合理的</w:t>
      </w:r>
      <w:r>
        <w:rPr>
          <w:rFonts w:hint="eastAsia" w:ascii="仿宋" w:hAnsi="仿宋" w:eastAsia="仿宋" w:cs="仿宋"/>
          <w:b/>
          <w:bCs/>
          <w:sz w:val="32"/>
          <w:szCs w:val="32"/>
          <w:lang w:val="en-US" w:eastAsia="zh-CN"/>
        </w:rPr>
        <w:t>多学科诊疗</w:t>
      </w:r>
      <w:r>
        <w:rPr>
          <w:rFonts w:hint="eastAsia" w:ascii="仿宋" w:hAnsi="仿宋" w:eastAsia="仿宋" w:cs="仿宋"/>
          <w:b/>
          <w:bCs/>
          <w:sz w:val="32"/>
          <w:szCs w:val="32"/>
        </w:rPr>
        <w:t>技术团队。</w:t>
      </w:r>
    </w:p>
    <w:p w14:paraId="731DD9F1">
      <w:pPr>
        <w:tabs>
          <w:tab w:val="left" w:pos="1682"/>
        </w:tabs>
        <w:spacing w:line="360" w:lineRule="auto"/>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drawing>
          <wp:inline distT="0" distB="0" distL="114300" distR="114300">
            <wp:extent cx="2127250" cy="2839085"/>
            <wp:effectExtent l="0" t="0" r="6350" b="10795"/>
            <wp:docPr id="2" name="图片 3" descr="da2818d0719c4d4f74972089c25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a2818d0719c4d4f74972089c25813a"/>
                    <pic:cNvPicPr>
                      <a:picLocks noChangeAspect="1"/>
                    </pic:cNvPicPr>
                  </pic:nvPicPr>
                  <pic:blipFill>
                    <a:blip r:embed="rId5"/>
                    <a:stretch>
                      <a:fillRect/>
                    </a:stretch>
                  </pic:blipFill>
                  <pic:spPr>
                    <a:xfrm>
                      <a:off x="0" y="0"/>
                      <a:ext cx="2127250" cy="2839085"/>
                    </a:xfrm>
                    <a:prstGeom prst="rect">
                      <a:avLst/>
                    </a:prstGeom>
                    <a:noFill/>
                    <a:ln>
                      <a:noFill/>
                    </a:ln>
                  </pic:spPr>
                </pic:pic>
              </a:graphicData>
            </a:graphic>
          </wp:inline>
        </w:drawing>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drawing>
          <wp:inline distT="0" distB="0" distL="114300" distR="114300">
            <wp:extent cx="2127885" cy="2839085"/>
            <wp:effectExtent l="0" t="0" r="5715" b="10795"/>
            <wp:docPr id="3" name="图片 7" descr="acfeb8e40f96de1af567d8654e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acfeb8e40f96de1af567d8654e53443"/>
                    <pic:cNvPicPr>
                      <a:picLocks noChangeAspect="1"/>
                    </pic:cNvPicPr>
                  </pic:nvPicPr>
                  <pic:blipFill>
                    <a:blip r:embed="rId6"/>
                    <a:stretch>
                      <a:fillRect/>
                    </a:stretch>
                  </pic:blipFill>
                  <pic:spPr>
                    <a:xfrm>
                      <a:off x="0" y="0"/>
                      <a:ext cx="2127885" cy="2839085"/>
                    </a:xfrm>
                    <a:prstGeom prst="rect">
                      <a:avLst/>
                    </a:prstGeom>
                    <a:noFill/>
                    <a:ln>
                      <a:noFill/>
                    </a:ln>
                  </pic:spPr>
                </pic:pic>
              </a:graphicData>
            </a:graphic>
          </wp:inline>
        </w:drawing>
      </w:r>
    </w:p>
    <w:p w14:paraId="11ECBD80">
      <w:pPr>
        <w:ind w:firstLine="640" w:firstLineChars="200"/>
        <w:rPr>
          <w:rFonts w:hint="eastAsia" w:ascii="黑体" w:hAnsi="黑体" w:eastAsia="黑体" w:cs="黑体"/>
          <w:sz w:val="32"/>
          <w:szCs w:val="32"/>
        </w:rPr>
      </w:pPr>
      <w:r>
        <w:rPr>
          <w:rFonts w:hint="eastAsia" w:ascii="黑体" w:hAnsi="黑体" w:eastAsia="黑体" w:cs="黑体"/>
          <w:sz w:val="32"/>
          <w:szCs w:val="32"/>
        </w:rPr>
        <w:t>三、报名方式</w:t>
      </w:r>
    </w:p>
    <w:p w14:paraId="18C6C0F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1.符合资格要求的学员可联系对应专业的基地负责人，经负责人初步审核通过后，由“云南医评”微信公众号进入报名通道进行报名，经医评中心审核通过后，请</w:t>
      </w:r>
      <w:r>
        <w:rPr>
          <w:rFonts w:hint="eastAsia" w:ascii="仿宋_GB2312" w:hAnsi="仿宋_GB2312" w:eastAsia="仿宋_GB2312" w:cs="仿宋_GB2312"/>
          <w:sz w:val="32"/>
          <w:szCs w:val="32"/>
          <w:shd w:val="clear" w:color="auto" w:fill="FFFFFF"/>
        </w:rPr>
        <w:t>扫描申请人医师资格证书、医师执业证书、职称证书及身份证至我院医务处邮箱：kyfeyywc@163.com。</w:t>
      </w:r>
    </w:p>
    <w:p w14:paraId="37C5639D">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2.各培训基地根据培训方案和计划，按照公平公开、择优录取、双向选择的原则决定是否接受参培医师，名额招满即止。</w:t>
      </w:r>
    </w:p>
    <w:p w14:paraId="0E01D789">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3.时间：开班前3个工作日，开班后一周内未报到者我院有权终止其培训。报到时，申请人须携带加盖公章的《昆明医科大学第二附属医院进修申请表》及其要求的相关证书原件及材料至医院医务处报到（8号楼207办公室）。</w:t>
      </w:r>
    </w:p>
    <w:p w14:paraId="6ABE96AE">
      <w:pPr>
        <w:pStyle w:val="4"/>
        <w:widowControl/>
        <w:shd w:val="clear" w:color="auto" w:fill="FFFFFF"/>
        <w:spacing w:before="0" w:beforeAutospacing="0" w:after="0" w:afterAutospacing="0"/>
        <w:ind w:firstLine="645"/>
        <w:jc w:val="both"/>
        <w:rPr>
          <w:rFonts w:hint="eastAsia" w:ascii="黑体" w:hAnsi="黑体" w:eastAsia="黑体" w:cs="黑体"/>
          <w:sz w:val="32"/>
          <w:szCs w:val="32"/>
        </w:rPr>
      </w:pPr>
      <w:r>
        <w:rPr>
          <w:rFonts w:hint="eastAsia" w:ascii="黑体" w:hAnsi="黑体" w:eastAsia="黑体" w:cs="黑体"/>
          <w:sz w:val="32"/>
          <w:szCs w:val="32"/>
          <w:shd w:val="clear" w:color="auto" w:fill="FFFFFF"/>
        </w:rPr>
        <w:t>四、培训内容</w:t>
      </w:r>
    </w:p>
    <w:p w14:paraId="1FF2BFBE">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（一）培训形式</w:t>
      </w:r>
    </w:p>
    <w:p w14:paraId="6B293C8C">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理论基础、实践操作、结业考核等。</w:t>
      </w:r>
    </w:p>
    <w:p w14:paraId="583BF741">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（二）学习期限</w:t>
      </w:r>
    </w:p>
    <w:p w14:paraId="3E3ED25F">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根据各限制类临床应用管理规范（2019版）要求确定。</w:t>
      </w:r>
    </w:p>
    <w:p w14:paraId="53104D11">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（三）费用</w:t>
      </w:r>
    </w:p>
    <w:p w14:paraId="24DB6B79">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限制类医疗技术规范化培训为免费，产生的交通费及住宿费用由派出单位承担。</w:t>
      </w:r>
    </w:p>
    <w:p w14:paraId="4B4AF6E1">
      <w:pPr>
        <w:pStyle w:val="4"/>
        <w:widowControl/>
        <w:shd w:val="clear" w:color="auto" w:fill="FFFFFF"/>
        <w:spacing w:before="0" w:beforeAutospacing="0" w:after="0" w:afterAutospacing="0"/>
        <w:ind w:firstLine="645"/>
        <w:jc w:val="both"/>
        <w:rPr>
          <w:rFonts w:hint="eastAsia" w:ascii="黑体" w:hAnsi="黑体" w:eastAsia="黑体" w:cs="黑体"/>
          <w:sz w:val="32"/>
          <w:szCs w:val="32"/>
        </w:rPr>
      </w:pPr>
      <w:r>
        <w:rPr>
          <w:rFonts w:hint="eastAsia" w:ascii="黑体" w:hAnsi="黑体" w:eastAsia="黑体" w:cs="黑体"/>
          <w:sz w:val="32"/>
          <w:szCs w:val="32"/>
          <w:shd w:val="clear" w:color="auto" w:fill="FFFFFF"/>
        </w:rPr>
        <w:t>五、证书授予</w:t>
      </w:r>
    </w:p>
    <w:p w14:paraId="21EAC4AC">
      <w:pPr>
        <w:pStyle w:val="4"/>
        <w:widowControl/>
        <w:shd w:val="clear" w:color="auto" w:fill="FFFFFF"/>
        <w:spacing w:before="0" w:beforeAutospacing="0" w:after="0" w:afterAutospacing="0"/>
        <w:ind w:firstLine="64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培训合格者，进入云南医评公众号培训工作板块领取《限制类医疗技术规范化培训合格证书》，该证书将作为医师申请个人限制类医疗技术备案的重要依据；同时，培训时间大于6个月的合格者可向医院申请《进修结业证书》。</w:t>
      </w:r>
    </w:p>
    <w:p w14:paraId="4F3A4EE4">
      <w:pPr>
        <w:pStyle w:val="4"/>
        <w:widowControl/>
        <w:shd w:val="clear" w:color="auto" w:fill="FFFFFF"/>
        <w:spacing w:before="0" w:beforeAutospacing="0" w:after="0" w:afterAutospacing="0"/>
        <w:ind w:firstLine="645"/>
        <w:jc w:val="both"/>
        <w:rPr>
          <w:rFonts w:hint="eastAsia" w:ascii="黑体" w:hAnsi="黑体" w:eastAsia="黑体" w:cs="黑体"/>
          <w:sz w:val="32"/>
          <w:szCs w:val="32"/>
        </w:rPr>
      </w:pPr>
      <w:r>
        <w:rPr>
          <w:rFonts w:hint="eastAsia" w:ascii="黑体" w:hAnsi="黑体" w:eastAsia="黑体" w:cs="黑体"/>
          <w:sz w:val="32"/>
          <w:szCs w:val="32"/>
          <w:shd w:val="clear" w:color="auto" w:fill="FFFFFF"/>
        </w:rPr>
        <w:t>六、其他注意事项</w:t>
      </w:r>
    </w:p>
    <w:p w14:paraId="5A35FBEB">
      <w:pPr>
        <w:pStyle w:val="4"/>
        <w:widowControl/>
        <w:shd w:val="clear" w:color="auto" w:fill="FFFFFF"/>
        <w:spacing w:before="0" w:beforeAutospacing="0" w:after="0" w:afterAutospacing="0"/>
        <w:ind w:firstLine="705"/>
        <w:jc w:val="both"/>
        <w:rPr>
          <w:rFonts w:hint="eastAsia" w:ascii="仿宋_GB2312" w:hAnsi="仿宋_GB2312" w:eastAsia="仿宋_GB2312" w:cs="仿宋_GB2312"/>
          <w:spacing w:val="15"/>
          <w:sz w:val="32"/>
          <w:szCs w:val="32"/>
          <w:shd w:val="clear" w:color="auto" w:fill="FFFFFF"/>
        </w:rPr>
      </w:pPr>
      <w:r>
        <w:rPr>
          <w:rFonts w:hint="eastAsia" w:ascii="仿宋_GB2312" w:hAnsi="仿宋_GB2312" w:eastAsia="仿宋_GB2312" w:cs="仿宋_GB2312"/>
          <w:sz w:val="32"/>
          <w:szCs w:val="32"/>
          <w:shd w:val="clear" w:color="auto" w:fill="FFFFFF"/>
        </w:rPr>
        <w:t>（一）培训学员</w:t>
      </w:r>
      <w:r>
        <w:rPr>
          <w:rFonts w:hint="eastAsia" w:ascii="仿宋_GB2312" w:hAnsi="仿宋_GB2312" w:eastAsia="仿宋_GB2312" w:cs="仿宋_GB2312"/>
          <w:sz w:val="32"/>
          <w:szCs w:val="32"/>
        </w:rPr>
        <w:t>资格要求</w:t>
      </w:r>
      <w:r>
        <w:rPr>
          <w:rFonts w:hint="eastAsia" w:ascii="仿宋_GB2312" w:hAnsi="仿宋_GB2312" w:eastAsia="仿宋_GB2312" w:cs="仿宋_GB2312"/>
          <w:spacing w:val="15"/>
          <w:sz w:val="32"/>
          <w:szCs w:val="32"/>
          <w:shd w:val="clear" w:color="auto" w:fill="FFFFFF"/>
        </w:rPr>
        <w:t>：</w:t>
      </w:r>
    </w:p>
    <w:p w14:paraId="33736CDC">
      <w:pPr>
        <w:pStyle w:val="4"/>
        <w:widowControl/>
        <w:shd w:val="clear" w:color="auto" w:fill="FFFFFF"/>
        <w:spacing w:before="0" w:beforeAutospacing="0" w:after="0" w:afterAutospacing="0"/>
        <w:ind w:firstLine="705"/>
        <w:jc w:val="both"/>
        <w:rPr>
          <w:rFonts w:hint="eastAsia" w:ascii="仿宋_GB2312" w:hAnsi="仿宋_GB2312" w:eastAsia="仿宋_GB2312" w:cs="仿宋_GB2312"/>
          <w:spacing w:val="15"/>
          <w:sz w:val="32"/>
          <w:szCs w:val="32"/>
          <w:shd w:val="clear" w:color="auto" w:fill="FFFFFF"/>
        </w:rPr>
      </w:pPr>
      <w:r>
        <w:rPr>
          <w:rFonts w:hint="eastAsia" w:ascii="仿宋_GB2312" w:hAnsi="仿宋_GB2312" w:eastAsia="仿宋_GB2312" w:cs="仿宋_GB2312"/>
          <w:spacing w:val="15"/>
          <w:sz w:val="32"/>
          <w:szCs w:val="32"/>
          <w:shd w:val="clear" w:color="auto" w:fill="FFFFFF"/>
        </w:rPr>
        <w:t>1.二级以上公立医院（含县级）医院、大型厂矿职工医院或部队团以上医疗机构执业医师；</w:t>
      </w:r>
    </w:p>
    <w:p w14:paraId="2A1B3C23">
      <w:pPr>
        <w:pStyle w:val="4"/>
        <w:widowControl/>
        <w:shd w:val="clear" w:color="auto" w:fill="FFFFFF"/>
        <w:spacing w:before="0" w:beforeAutospacing="0" w:after="0" w:afterAutospacing="0"/>
        <w:ind w:firstLine="705"/>
        <w:jc w:val="both"/>
        <w:rPr>
          <w:rFonts w:hint="eastAsia" w:ascii="仿宋_GB2312" w:hAnsi="仿宋_GB2312" w:eastAsia="仿宋_GB2312" w:cs="仿宋_GB2312"/>
          <w:spacing w:val="15"/>
          <w:sz w:val="32"/>
          <w:szCs w:val="32"/>
          <w:shd w:val="clear" w:color="auto" w:fill="FFFFFF"/>
        </w:rPr>
      </w:pPr>
      <w:r>
        <w:rPr>
          <w:rFonts w:hint="eastAsia" w:ascii="仿宋_GB2312" w:hAnsi="仿宋_GB2312" w:eastAsia="仿宋_GB2312" w:cs="仿宋_GB2312"/>
          <w:spacing w:val="15"/>
          <w:sz w:val="32"/>
          <w:szCs w:val="32"/>
          <w:shd w:val="clear" w:color="auto" w:fill="FFFFFF"/>
        </w:rPr>
        <w:t>2.经过注册的执业医师，其注册类别和执业范围须与所申请培训技术要求的专业一致；</w:t>
      </w:r>
    </w:p>
    <w:p w14:paraId="416D67AE">
      <w:pPr>
        <w:pStyle w:val="4"/>
        <w:widowControl/>
        <w:shd w:val="clear" w:color="auto" w:fill="FFFFFF"/>
        <w:spacing w:before="0" w:beforeAutospacing="0" w:after="0" w:afterAutospacing="0"/>
        <w:ind w:firstLine="705"/>
        <w:jc w:val="both"/>
        <w:rPr>
          <w:rFonts w:hint="eastAsia" w:ascii="仿宋_GB2312" w:hAnsi="仿宋_GB2312" w:eastAsia="仿宋_GB2312" w:cs="仿宋_GB2312"/>
          <w:spacing w:val="15"/>
          <w:sz w:val="32"/>
          <w:szCs w:val="32"/>
          <w:shd w:val="clear" w:color="auto" w:fill="FFFFFF"/>
        </w:rPr>
      </w:pPr>
      <w:r>
        <w:rPr>
          <w:rFonts w:hint="eastAsia" w:ascii="仿宋_GB2312" w:hAnsi="仿宋_GB2312" w:eastAsia="仿宋_GB2312" w:cs="仿宋_GB2312"/>
          <w:spacing w:val="15"/>
          <w:sz w:val="32"/>
          <w:szCs w:val="32"/>
          <w:shd w:val="clear" w:color="auto" w:fill="FFFFFF"/>
        </w:rPr>
        <w:t>3.符合各限制类医疗技术诊临床应用管理规范（2019版）相关要求，取得中职及以上资格；</w:t>
      </w:r>
    </w:p>
    <w:p w14:paraId="3EA6AB11">
      <w:pPr>
        <w:pStyle w:val="4"/>
        <w:widowControl/>
        <w:shd w:val="clear" w:color="auto" w:fill="FFFFFF"/>
        <w:spacing w:before="0" w:beforeAutospacing="0" w:after="0" w:afterAutospacing="0"/>
        <w:ind w:firstLine="705"/>
        <w:jc w:val="both"/>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pacing w:val="15"/>
          <w:sz w:val="32"/>
          <w:szCs w:val="32"/>
          <w:shd w:val="clear" w:color="auto" w:fill="FFFFFF"/>
        </w:rPr>
        <w:t>4.怀孕、哺乳期、有传染病等影响培训学习效果及考核的医师不予以接收。</w:t>
      </w:r>
    </w:p>
    <w:p w14:paraId="67CA6304">
      <w:pPr>
        <w:pStyle w:val="4"/>
        <w:widowControl/>
        <w:shd w:val="clear" w:color="auto" w:fill="FFFFFF"/>
        <w:spacing w:before="0" w:beforeAutospacing="0" w:after="0" w:afterAutospacing="0"/>
        <w:ind w:firstLine="70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（二）培训学习期间必须遵守各基地学员管理要求及进修医师管理相关规定；严格遵守医院各项规章制度及劳动纪律，请假者须报备批准；</w:t>
      </w:r>
    </w:p>
    <w:p w14:paraId="3EEED887">
      <w:pPr>
        <w:pStyle w:val="4"/>
        <w:widowControl/>
        <w:shd w:val="clear" w:color="auto" w:fill="FFFFFF"/>
        <w:spacing w:before="0" w:beforeAutospacing="0" w:after="0" w:afterAutospacing="0"/>
        <w:ind w:firstLine="70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（三）培训学员需配合医院做好培训期间安全管理，遇到任何安全问题可随时联系医务处、保卫处、后勤服务中心。</w:t>
      </w:r>
    </w:p>
    <w:p w14:paraId="5A2B1763">
      <w:pPr>
        <w:pStyle w:val="4"/>
        <w:widowControl/>
        <w:shd w:val="clear" w:color="auto" w:fill="FFFFFF"/>
        <w:spacing w:before="0" w:beforeAutospacing="0" w:after="0" w:afterAutospacing="0"/>
        <w:ind w:firstLine="70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联系方式：</w:t>
      </w:r>
    </w:p>
    <w:p w14:paraId="112573B8">
      <w:pPr>
        <w:pStyle w:val="4"/>
        <w:widowControl/>
        <w:shd w:val="clear" w:color="auto" w:fill="FFFFFF"/>
        <w:spacing w:before="0" w:beforeAutospacing="0" w:after="0" w:afterAutospacing="0"/>
        <w:ind w:firstLine="705"/>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昆明医科大学第二附属医院医务处：0871-63402252；</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3000509000000000000"/>
    <w:charset w:val="86"/>
    <w:family w:val="auto"/>
    <w:pitch w:val="default"/>
    <w:sig w:usb0="00000000" w:usb1="080E0000" w:usb2="00000000" w:usb3="00000000" w:csb0="00040000" w:csb1="00000000"/>
  </w:font>
  <w:font w:name="仿宋_GB2312">
    <w:altName w:val="仿宋"/>
    <w:panose1 w:val="02010609030101010101"/>
    <w:charset w:val="86"/>
    <w:family w:val="auto"/>
    <w:pitch w:val="default"/>
    <w:sig w:usb0="00000000"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75"/>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kZTM5NjczNGE4MzFiOWJjOWJhOWY0MDI1N2E1ODEifQ=="/>
  </w:docVars>
  <w:rsids>
    <w:rsidRoot w:val="00715B4F"/>
    <w:rsid w:val="001D46F6"/>
    <w:rsid w:val="00715B4F"/>
    <w:rsid w:val="01FA47FF"/>
    <w:rsid w:val="03250120"/>
    <w:rsid w:val="044A02CD"/>
    <w:rsid w:val="09813405"/>
    <w:rsid w:val="0C6A7A6C"/>
    <w:rsid w:val="11FE4B4D"/>
    <w:rsid w:val="15FD7594"/>
    <w:rsid w:val="19710B9B"/>
    <w:rsid w:val="1C920476"/>
    <w:rsid w:val="1CC50B34"/>
    <w:rsid w:val="2AAB3EE1"/>
    <w:rsid w:val="2BB43772"/>
    <w:rsid w:val="2F32083A"/>
    <w:rsid w:val="32452973"/>
    <w:rsid w:val="3B400278"/>
    <w:rsid w:val="3C2D42C0"/>
    <w:rsid w:val="402E7964"/>
    <w:rsid w:val="40AD5DA8"/>
    <w:rsid w:val="437C2F5D"/>
    <w:rsid w:val="4C0E3C4A"/>
    <w:rsid w:val="4F5142F4"/>
    <w:rsid w:val="54BD433F"/>
    <w:rsid w:val="550029F7"/>
    <w:rsid w:val="56632E44"/>
    <w:rsid w:val="5A365ED5"/>
    <w:rsid w:val="5BFE2505"/>
    <w:rsid w:val="64732C55"/>
    <w:rsid w:val="6F487346"/>
    <w:rsid w:val="702E2773"/>
    <w:rsid w:val="762E5C2A"/>
    <w:rsid w:val="79E61EC2"/>
    <w:rsid w:val="7A665F80"/>
    <w:rsid w:val="7D6713F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0"/>
    <w:pPr>
      <w:spacing w:before="100" w:beforeAutospacing="1" w:after="100" w:afterAutospacing="1"/>
      <w:ind w:left="0" w:right="0"/>
      <w:jc w:val="left"/>
    </w:pPr>
    <w:rPr>
      <w:kern w:val="0"/>
      <w:sz w:val="24"/>
      <w:lang w:val="en-US" w:eastAsia="zh-CN" w:bidi="ar"/>
    </w:rPr>
  </w:style>
  <w:style w:type="table" w:styleId="6">
    <w:name w:val="Table Grid"/>
    <w:basedOn w:val="5"/>
    <w:uiPriority w:val="0"/>
    <w:pPr>
      <w:widowControl w:val="0"/>
      <w:jc w:val="both"/>
    </w:pPr>
    <w:tblPr>
      <w:tblStyle w:val="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Char"/>
    <w:basedOn w:val="7"/>
    <w:link w:val="2"/>
    <w:uiPriority w:val="0"/>
    <w:rPr>
      <w:rFonts w:ascii="Calibri" w:hAnsi="Calibri"/>
      <w:kern w:val="2"/>
      <w:sz w:val="18"/>
      <w:szCs w:val="18"/>
    </w:rPr>
  </w:style>
  <w:style w:type="character" w:customStyle="1" w:styleId="9">
    <w:name w:val="页眉 Char"/>
    <w:basedOn w:val="7"/>
    <w:link w:val="3"/>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1517</Words>
  <Characters>1674</Characters>
  <Lines>11</Lines>
  <Paragraphs>3</Paragraphs>
  <TotalTime>0</TotalTime>
  <ScaleCrop>false</ScaleCrop>
  <LinksUpToDate>false</LinksUpToDate>
  <CharactersWithSpaces>1679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2022-08-08T01:13:00Z</dcterms:created>
  <dc:creator>Administrator</dc:creator>
  <cp:lastModifiedBy>木又木</cp:lastModifiedBy>
  <dcterms:modified xsi:type="dcterms:W3CDTF">2025-02-12T10:27:56Z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41933F92670A404189EDB046B7A20332_13</vt:lpwstr>
  </property>
  <property fmtid="{D5CDD505-2E9C-101B-9397-08002B2CF9AE}" pid="4" name="KSOTemplateDocerSaveRecord">
    <vt:lpwstr>eyJoZGlkIjoiZWViMGM0NjNmOTE2ZGVkYjQwNzFlYzA5ZDMzMTc4N2EiLCJ1c2VySWQiOiI0MzczNzgxODUifQ==</vt:lpwstr>
  </property>
</Properties>
</file>