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u w:val="none"/>
          <w:lang w:val="en-US" w:eastAsia="zh-CN" w:bidi="ar-SA"/>
        </w:rPr>
      </w:pPr>
      <w:bookmarkStart w:id="0" w:name="_GoBack"/>
      <w:bookmarkEnd w:id="0"/>
      <w:r>
        <w:rPr>
          <w:rFonts w:hint="eastAsia" w:ascii="方正小标宋简体" w:hAnsi="方正小标宋简体" w:eastAsia="方正小标宋简体" w:cs="方正小标宋简体"/>
          <w:kern w:val="2"/>
          <w:sz w:val="44"/>
          <w:szCs w:val="44"/>
          <w:u w:val="single"/>
          <w:lang w:val="en-US" w:eastAsia="zh-CN" w:bidi="ar-SA"/>
        </w:rPr>
        <w:t xml:space="preserve"> </w:t>
      </w:r>
      <w:r>
        <w:rPr>
          <w:rFonts w:hint="eastAsia" w:ascii="方正小标宋简体" w:hAnsi="方正小标宋简体" w:eastAsia="方正小标宋简体" w:cs="方正小标宋简体"/>
          <w:kern w:val="2"/>
          <w:sz w:val="44"/>
          <w:szCs w:val="44"/>
          <w:u w:val="single"/>
          <w:lang w:val="en-US" w:eastAsia="zh-CN" w:bidi="ar-SA"/>
        </w:rPr>
        <w:t>高频电刀</w:t>
      </w:r>
      <w:r>
        <w:rPr>
          <w:rFonts w:hint="eastAsia" w:ascii="方正小标宋简体" w:hAnsi="方正小标宋简体" w:eastAsia="方正小标宋简体" w:cs="方正小标宋简体"/>
          <w:kern w:val="2"/>
          <w:sz w:val="44"/>
          <w:szCs w:val="44"/>
          <w:u w:val="single"/>
          <w:lang w:val="en-US" w:eastAsia="zh-CN" w:bidi="ar-SA"/>
        </w:rPr>
        <w:t xml:space="preserve"> </w:t>
      </w:r>
      <w:r>
        <w:rPr>
          <w:rFonts w:hint="eastAsia" w:ascii="方正小标宋简体" w:hAnsi="方正小标宋简体" w:eastAsia="方正小标宋简体" w:cs="方正小标宋简体"/>
          <w:kern w:val="2"/>
          <w:sz w:val="44"/>
          <w:szCs w:val="44"/>
          <w:u w:val="none"/>
          <w:lang w:val="en-US" w:eastAsia="zh-CN" w:bidi="ar-SA"/>
        </w:rPr>
        <w:t>技术参数</w:t>
      </w:r>
    </w:p>
    <w:p>
      <w:pPr>
        <w:wordWrap w:val="0"/>
        <w:jc w:val="both"/>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一、系统／主机性能</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1．可同时连接2把单极器械、1把双极器械</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主机显示屏：具备清晰，高广角分辨率，全彩LCD触摸屏，显示≥四种不同的工作模式，可以通过触摸屏进行设备、耗材及系统的设置与检测，操作简易。</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所有器械均可使用自带手控按键或连接脚踏控制激发。</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所有器械接口均有在位状态及工作状态指示灯。</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触摸屏智能锁屏功能：为了防止对触摸屏的误操作，可开启触摸屏锁屏功能。锁屏功能开启后，超过1min无操作，触摸屏会自动锁定，确保使用安全。</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2.主机技术</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具备有功功率补偿技术，克服了线缆不同长度，类型，组织差异造成的无功功率损耗，确保了不同应用场景下切割手感，凝血效果保持一致。</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具备自检功能，可诊断设备的连接及工作状况，根据出现问题的严重程度，分为高级和低级，提供不同声音的报警功能，当同时存在多个同类报警时，优先显示等级高的报警。</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报警发生时，可点击查看解决措施，便于操作者及时处理故障。</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提供报警确认键，按此键可关闭报警音。</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提供一键恢复键，按此键恢复上次关机前的电刀参数设置。</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可根据用户使用习惯预设保存参数配置，并自定义名称，在选择配置界面可选择已保存的参数配置。</w:t>
      </w:r>
    </w:p>
    <w:p>
      <w:pPr>
        <w:wordWrap w:val="0"/>
        <w:jc w:val="both"/>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二、功能及模式要求</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1.单极功能</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单极切割模式：单极切割模式可设置为纯切、混切。</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单极凝血模式：单极凝血模式可设置为软凝、电灼、喷凝。</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单极切割、凝血模式的工作频率为434kHz。</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支持连接成人或新生儿类型中性电极，支持连接单片及双片类型中性电极。</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具备中性电极监测电路，连续性监测中性电极与主机或病人之间的连接状态，并提供相应报警。</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2.双极功能</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双极凝血模式可设置为精确、标准、宏，以及双极柔和电凝。</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双极凝血模式精确、标准、宏的工作频率≥430kHz，双极柔和电凝的工作频率≥350kHz。</w:t>
      </w:r>
    </w:p>
    <w:p>
      <w:pPr>
        <w:wordWrap w:val="0"/>
        <w:jc w:val="both"/>
        <w:rPr>
          <w:rFonts w:hint="eastAsia" w:ascii="仿宋_GB2312" w:hAnsi="仿宋_GB2312" w:eastAsia="仿宋_GB2312" w:cs="仿宋_GB2312"/>
          <w:b/>
          <w:bCs/>
          <w:kern w:val="2"/>
          <w:sz w:val="30"/>
          <w:szCs w:val="30"/>
          <w:lang w:val="en-US" w:eastAsia="zh-CN" w:bidi="ar-SA"/>
        </w:rPr>
        <w:sectPr>
          <w:pgSz w:w="11900" w:h="16840"/>
          <w:pgMar w:top="1420" w:right="1800" w:bottom="1420" w:left="1800" w:header="0" w:footer="1420" w:gutter="0"/>
          <w:cols w:space="720" w:num="1"/>
          <w:titlePg/>
          <w:docGrid w:type="lines" w:linePitch="0" w:charSpace="0"/>
        </w:sectPr>
      </w:pPr>
      <w:r>
        <w:rPr>
          <w:rFonts w:hint="eastAsia" w:ascii="仿宋_GB2312" w:hAnsi="仿宋_GB2312" w:eastAsia="仿宋_GB2312" w:cs="仿宋_GB2312"/>
          <w:b/>
          <w:bCs/>
          <w:kern w:val="2"/>
          <w:sz w:val="30"/>
          <w:szCs w:val="30"/>
          <w:lang w:val="en-US" w:eastAsia="zh-CN" w:bidi="ar-SA"/>
        </w:rPr>
        <w:t>三、功率要求</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1.电切功率</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纯切模式功率0-300W可调，1-40W：步长1W；40-100W：步长5W；100-300W：步长10W；方便功率调节，提高操作效率；峰值电压≥1285Vp。</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混切模式功率0-200W可调；步长1W；40-100W：步长5W；100-200W：步长10W；方便功率调节，提高操作效率；峰值电压≥2175Vp。，</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2.电凝功率</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软凝模式功率0-120W可调；1-40W：步长1W；40-100W：步长5W；100-120W：步长10W；方便功率调节，提高操作效率；峰值电压≥260Vp。</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电灼模式功率0-120W可调；1-40W：步长1W；40-100W：步长5W；100-120W：步长10W；方便功率调节，提高操作效率；峰值电压≥3445Vp。</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喷凝模式功率0-120W可调；1-40W：步长1W；40-100W：步长5W；100-120W：步长10W；方便功率调节，提高操作效率；峰值电压≥3930Vp，可使操作距离范围更大。</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3.双极功率</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双极凝结模式可设置为精确、标准、宏，以及双极柔和电凝。</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双极凝结模式精确、标准、宏的工作频率≥430kHz，双极柔和电凝的工作频率≥350kHz．精确模式功率0-70W可调；1-40W：步长 1W；40-70W：步长5W；100-300W：步长10W；方便功率调节，提高操作效率；峰值电压≥280Vp。</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标准模式功率0-70W可调；1-40W：步长1W；40-70W：步长5W；100-300W：步长10W；方便功率调节，提高操作效率；峰值电压≥415Vp。</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宏模式功率0-70W可调；1-40W：步长1W；40-70W：步长5W；100-300W：步长10W；方便功率调节，提高操作效率；峰值电压≥530Vp。</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双极柔和电凝模式功率0-70W可调；1-10W：步长1W；10-70W：步长2W；方便功率调节，提高操作效率；峰值电压≥150Vp。</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四、其他功能要求</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支持75％乙醇、3M全能强效多酶清洗液等多种清洁消毒剂对设备进行消毒。</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工作环境条件：温度10～30℃，相对湿度（非冷凝）15～85％，大气压70～106kPa。</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电源输入电压100-240 VAC （±10％），工作电流8-3.4A，频率50／60Hz，输入功率≤800VA，额定输出功率≥300W。</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语言功能：有多种语言进行选择，可以设置中文菜单。</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USB接口：具备USB 接口，连接USB 存储设备进行系统升级。</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具备以太网接口，支持数据传输功能。</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具备CAN接口，支持与其他设备互联，协同工作。</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具备负极板接触质量监控系统，有效监测中性电极回路，避免患者烧伤风险，如发生中性电极撕脱，主机发出警报音并在显示屏提示报错，同时停止能量输出。</w:t>
      </w:r>
    </w:p>
    <w:p>
      <w:pPr>
        <w:wordWrap w:val="0"/>
        <w:jc w:val="both"/>
        <w:rPr>
          <w:rFonts w:hint="eastAsia" w:ascii="仿宋_GB2312" w:hAnsi="仿宋_GB2312" w:eastAsia="仿宋_GB2312" w:cs="仿宋_GB2312"/>
          <w:b/>
          <w:bCs/>
          <w:kern w:val="2"/>
          <w:sz w:val="28"/>
          <w:szCs w:val="36"/>
          <w:lang w:val="en-US" w:eastAsia="zh-CN" w:bidi="ar-SA"/>
        </w:rPr>
      </w:pPr>
      <w:r>
        <w:rPr>
          <w:rFonts w:hint="eastAsia" w:ascii="仿宋_GB2312" w:hAnsi="仿宋_GB2312" w:eastAsia="仿宋_GB2312" w:cs="仿宋_GB2312"/>
          <w:b/>
          <w:bCs/>
          <w:kern w:val="2"/>
          <w:sz w:val="28"/>
          <w:szCs w:val="36"/>
          <w:lang w:val="en-US" w:eastAsia="zh-CN" w:bidi="ar-SA"/>
        </w:rPr>
        <w:t>五、其他要求</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1、在云南至少配有2名经认证工程师；</w:t>
      </w:r>
    </w:p>
    <w:p>
      <w:pPr>
        <w:wordWrap w:val="0"/>
        <w:jc w:val="both"/>
        <w:rPr>
          <w:rFonts w:hint="eastAsia" w:ascii="仿宋_GB2312" w:hAnsi="仿宋_GB2312" w:eastAsia="仿宋_GB2312" w:cs="仿宋_GB2312"/>
          <w:kern w:val="2"/>
          <w:sz w:val="28"/>
          <w:szCs w:val="36"/>
          <w:lang w:val="en-US" w:eastAsia="zh-CN" w:bidi="ar-SA"/>
        </w:rPr>
      </w:pPr>
      <w:r>
        <w:rPr>
          <w:rFonts w:hint="eastAsia" w:ascii="仿宋_GB2312" w:hAnsi="仿宋_GB2312" w:eastAsia="仿宋_GB2312" w:cs="仿宋_GB2312"/>
          <w:kern w:val="2"/>
          <w:sz w:val="28"/>
          <w:szCs w:val="36"/>
          <w:lang w:val="en-US" w:eastAsia="zh-CN" w:bidi="ar-SA"/>
        </w:rPr>
        <w:t>2、维修响应时间：2小时响应，48小时未解决问题提供备用机。</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kern w:val="2"/>
          <w:sz w:val="28"/>
          <w:szCs w:val="36"/>
          <w:lang w:val="en-US" w:eastAsia="zh-CN" w:bidi="ar-SA"/>
        </w:rPr>
        <w:sectPr>
          <w:pgSz w:w="11900" w:h="16840"/>
          <w:pgMar w:top="1420" w:right="1800" w:bottom="1420" w:left="1800" w:header="0" w:footer="1420" w:gutter="0"/>
          <w:cols w:space="720" w:num="1"/>
          <w:titlePg/>
          <w:docGrid w:type="lines" w:linePitch="0" w:charSpace="0"/>
        </w:sect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p/>
    <w:sectPr>
      <w:pgSz w:w="11900" w:h="16840"/>
      <w:pgMar w:top="1420" w:right="1800" w:bottom="1420" w:left="1800" w:header="0" w:footer="142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rsids>
    <w:rsidRoot w:val="00000000"/>
    <w:rsid w:val="1B7F2729"/>
    <w:rsid w:val="1C6F600A"/>
    <w:rsid w:val="31BE0193"/>
    <w:rsid w:val="38743299"/>
    <w:rsid w:val="45C810F9"/>
    <w:rsid w:val="4BB96C5D"/>
    <w:rsid w:val="4C8B4657"/>
    <w:rsid w:val="59DD5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Office_11.8.6.10973_F1E327BC-269C-435d-A152-05C5408002CA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2025-08-05T08:23:41Z</dcterms:created>
  <dc:creator>openxml-sdk </dc:creator>
  <dc:description>openxml-sdk, CCi Textin Word Converter, JL</dc:description>
  <cp:keywords>CCi</cp:keywords>
  <cp:lastModifiedBy>Administrator</cp:lastModifiedBy>
  <dcterms:modified xsi:type="dcterms:W3CDTF">2025-08-05T08:37:34Z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1C37CEFF7F834154860464085B082F51</vt:lpwstr>
  </property>
</Properties>
</file>