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page" w:tblpXSpec="center" w:tblpY="322"/>
        <w:tblOverlap w:val="never"/>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7"/>
        <w:gridCol w:w="1888"/>
        <w:gridCol w:w="6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bookmarkStart w:id="0" w:name="OLE_LINK1"/>
            <w:r>
              <w:rPr>
                <w:rFonts w:hint="eastAsia" w:ascii="仿宋" w:hAnsi="仿宋" w:eastAsia="仿宋" w:cs="仿宋"/>
                <w:b/>
                <w:bCs/>
                <w:kern w:val="2"/>
                <w:sz w:val="24"/>
                <w:szCs w:val="24"/>
                <w:highlight w:val="none"/>
                <w:lang w:val="en-US" w:eastAsia="zh-CN" w:bidi="ar-SA"/>
              </w:rPr>
              <w:t>序号</w:t>
            </w:r>
          </w:p>
        </w:tc>
        <w:tc>
          <w:tcPr>
            <w:tcW w:w="1888"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评分项目</w:t>
            </w:r>
          </w:p>
        </w:tc>
        <w:tc>
          <w:tcPr>
            <w:tcW w:w="6501"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评分内容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default"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w:t>
            </w:r>
          </w:p>
        </w:tc>
        <w:tc>
          <w:tcPr>
            <w:tcW w:w="1888"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项目实施方案</w:t>
            </w:r>
          </w:p>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default"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（满分16分）</w:t>
            </w:r>
          </w:p>
        </w:tc>
        <w:tc>
          <w:tcPr>
            <w:tcW w:w="6501"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供应商针对本项目提供的项目实施方案，包括但不限于:</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①总体思路及质量保证方案;</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②结构和人员的安排；</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③实施步骤；</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④日常管理制度；</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以上方案内容完整全面且科学合理、与项目技术需求吻合可行性高、思路清晰、层次结构细化，有具体详细的阐述且符合项目需求的得 16 分，每缺少一项内容扣4分;每有一项内容不完整或未能满足采购需求的或每有一处不具有针对性或不完整等的扣1-2分;扣完为止。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default"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w:t>
            </w:r>
          </w:p>
        </w:tc>
        <w:tc>
          <w:tcPr>
            <w:tcW w:w="1888"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项目服务方案</w:t>
            </w:r>
          </w:p>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default"/>
                <w:lang w:val="en-US" w:eastAsia="zh-CN"/>
              </w:rPr>
            </w:pPr>
            <w:r>
              <w:rPr>
                <w:rFonts w:hint="eastAsia" w:ascii="仿宋" w:hAnsi="仿宋" w:eastAsia="仿宋" w:cs="仿宋"/>
                <w:b/>
                <w:bCs/>
                <w:kern w:val="2"/>
                <w:sz w:val="24"/>
                <w:szCs w:val="24"/>
                <w:highlight w:val="none"/>
                <w:lang w:val="en-US" w:eastAsia="zh-CN" w:bidi="ar-SA"/>
              </w:rPr>
              <w:t>（满分24分）</w:t>
            </w:r>
          </w:p>
        </w:tc>
        <w:tc>
          <w:tcPr>
            <w:tcW w:w="6501"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供应商针对本项目提供项目服务方案，内容包含但不限于:</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①组织方案;</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②任务部署；</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⑧样品抽取及核查接收；</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④检验工作的具体内容；</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⑤结果处理；</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⑥保密工作、应急工作的实施；</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⑦结果评审；</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⑧制度保证等内容。</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以上方案内容完整清晰明确且科学合理、可行性高具有针对性并满足采购需求的得24分，每缺少一项内容扣3分:每有一项内容不完整或未能满足采购需求的或每有一处不具有针对性或不完整等的扣1-2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default"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3</w:t>
            </w:r>
          </w:p>
        </w:tc>
        <w:tc>
          <w:tcPr>
            <w:tcW w:w="1888"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违约责任方案</w:t>
            </w:r>
          </w:p>
          <w:p>
            <w:pPr>
              <w:pStyle w:val="7"/>
              <w:jc w:val="center"/>
              <w:rPr>
                <w:rFonts w:hint="default"/>
                <w:lang w:val="en-US" w:eastAsia="zh-CN"/>
              </w:rPr>
            </w:pPr>
            <w:r>
              <w:rPr>
                <w:rFonts w:hint="eastAsia" w:ascii="仿宋" w:hAnsi="仿宋" w:eastAsia="仿宋" w:cs="仿宋"/>
                <w:b/>
                <w:bCs/>
                <w:kern w:val="2"/>
                <w:sz w:val="24"/>
                <w:szCs w:val="24"/>
                <w:highlight w:val="none"/>
                <w:lang w:val="en-US" w:eastAsia="zh-CN" w:bidi="ar-SA"/>
              </w:rPr>
              <w:t>（满分10分）</w:t>
            </w:r>
          </w:p>
        </w:tc>
        <w:tc>
          <w:tcPr>
            <w:tcW w:w="6501"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供应商针对本项目提供的项目违约责任方案，包括但不限于:</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①质量违约责任承诺；</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②响应速度及整改期限；</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③应急预案;</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④数据真实、有效性；</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⑤服务人员配置(提供人员清单)。</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以上方案内</w:t>
            </w:r>
            <w:bookmarkStart w:id="1" w:name="_GoBack"/>
            <w:bookmarkEnd w:id="1"/>
            <w:r>
              <w:rPr>
                <w:rFonts w:hint="eastAsia" w:ascii="仿宋" w:hAnsi="仿宋" w:eastAsia="仿宋" w:cs="仿宋"/>
                <w:b w:val="0"/>
                <w:bCs w:val="0"/>
                <w:kern w:val="2"/>
                <w:sz w:val="24"/>
                <w:szCs w:val="24"/>
                <w:highlight w:val="none"/>
                <w:lang w:val="en-US" w:eastAsia="zh-CN" w:bidi="ar-SA"/>
              </w:rPr>
              <w:t>容完整全面且科学合理、与项目技术需求吻合可行性高、思路清晰、层次结构细化，有具体详细的阐述且符合项目需求的得 10分，每有一项内容缺失的扣2分，每有一项不适用本项目或无针对性或不够详实的扣1分，扣完为止。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default"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w:t>
            </w:r>
          </w:p>
        </w:tc>
        <w:tc>
          <w:tcPr>
            <w:tcW w:w="1888"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技术指标</w:t>
            </w:r>
          </w:p>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default"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（满分24分）</w:t>
            </w:r>
          </w:p>
        </w:tc>
        <w:tc>
          <w:tcPr>
            <w:tcW w:w="6501"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供应商响应产品的技术服务及功能完全满足招标公告技术要求/需求的，得24分，每有一条重要参数不响应扣3分，每有一条一般参数不响应扣1分，分数扣完为止。技术和功能响应未描述或未提供相应支撑材料的，对应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default"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w:t>
            </w:r>
          </w:p>
        </w:tc>
        <w:tc>
          <w:tcPr>
            <w:tcW w:w="1888"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业绩</w:t>
            </w:r>
          </w:p>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（满分6分）</w:t>
            </w:r>
          </w:p>
        </w:tc>
        <w:tc>
          <w:tcPr>
            <w:tcW w:w="6501"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2022年至今类似项目业绩，提供1个得基础分1分，每增加一个得1分，满分6分。（以2022年至今签订合同或发票或中标通知书等能证明业绩的复印件作为证明材料，加盖公章）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default"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6</w:t>
            </w:r>
          </w:p>
        </w:tc>
        <w:tc>
          <w:tcPr>
            <w:tcW w:w="1888"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报价</w:t>
            </w:r>
          </w:p>
          <w:p>
            <w:pPr>
              <w:pageBreakBefore w:val="0"/>
              <w:widowControl/>
              <w:kinsoku/>
              <w:wordWrap/>
              <w:overflowPunct/>
              <w:topLinePunct w:val="0"/>
              <w:autoSpaceDE/>
              <w:autoSpaceDN/>
              <w:bidi w:val="0"/>
              <w:adjustRightInd/>
              <w:snapToGrid/>
              <w:spacing w:beforeLines="0" w:line="288" w:lineRule="auto"/>
              <w:contextualSpacing/>
              <w:jc w:val="center"/>
              <w:textAlignment w:val="auto"/>
              <w:rPr>
                <w:rFonts w:hint="eastAsia"/>
                <w:lang w:val="en-US" w:eastAsia="zh-CN"/>
              </w:rPr>
            </w:pPr>
            <w:r>
              <w:rPr>
                <w:rFonts w:hint="eastAsia" w:ascii="仿宋" w:hAnsi="仿宋" w:eastAsia="仿宋" w:cs="仿宋"/>
                <w:b/>
                <w:bCs/>
                <w:kern w:val="2"/>
                <w:sz w:val="24"/>
                <w:szCs w:val="24"/>
                <w:highlight w:val="none"/>
                <w:lang w:val="en-US" w:eastAsia="zh-CN" w:bidi="ar-SA"/>
              </w:rPr>
              <w:t>（满分20分）</w:t>
            </w:r>
          </w:p>
        </w:tc>
        <w:tc>
          <w:tcPr>
            <w:tcW w:w="6501" w:type="dxa"/>
            <w:noWrap w:val="0"/>
            <w:vAlign w:val="center"/>
          </w:tcPr>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投标报价得分=（评标基准价/投标报价）*20</w:t>
            </w:r>
          </w:p>
          <w:p>
            <w:pPr>
              <w:pageBreakBefore w:val="0"/>
              <w:widowControl/>
              <w:kinsoku/>
              <w:wordWrap/>
              <w:overflowPunct/>
              <w:topLinePunct w:val="0"/>
              <w:autoSpaceDE/>
              <w:autoSpaceDN/>
              <w:bidi w:val="0"/>
              <w:adjustRightInd/>
              <w:snapToGrid/>
              <w:spacing w:beforeLines="0" w:line="288" w:lineRule="auto"/>
              <w:contextualSpacing/>
              <w:jc w:val="both"/>
              <w:textAlignment w:val="auto"/>
              <w:rPr>
                <w:rFonts w:hint="eastAsia" w:ascii="仿宋" w:hAnsi="仿宋" w:eastAsia="仿宋" w:cs="仿宋"/>
                <w:b w:val="0"/>
                <w:bCs w:val="0"/>
                <w:kern w:val="2"/>
                <w:sz w:val="24"/>
                <w:szCs w:val="24"/>
                <w:highlight w:val="none"/>
                <w:lang w:val="en-US" w:eastAsia="zh-CN" w:bidi="ar-SA"/>
              </w:rPr>
            </w:pPr>
            <w:r>
              <w:rPr>
                <w:rFonts w:hint="default" w:ascii="仿宋" w:hAnsi="仿宋" w:eastAsia="仿宋" w:cs="仿宋"/>
                <w:b w:val="0"/>
                <w:bCs w:val="0"/>
                <w:kern w:val="2"/>
                <w:sz w:val="24"/>
                <w:szCs w:val="24"/>
                <w:highlight w:val="none"/>
                <w:lang w:val="en-US" w:eastAsia="zh-CN" w:bidi="ar-SA"/>
              </w:rPr>
              <w:t>评标基准价即经符合性评审合格且投标价格最低的投标报价</w:t>
            </w:r>
          </w:p>
        </w:tc>
      </w:tr>
      <w:bookmarkEnd w:id="0"/>
    </w:tbl>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pPr>
                          <w:r>
                            <w:t>—</w:t>
                          </w: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9"/>
                    </w:pPr>
                    <w:r>
                      <w:t>—</w:t>
                    </w: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63F10"/>
    <w:rsid w:val="0AEF42D9"/>
    <w:rsid w:val="28C41348"/>
    <w:rsid w:val="2BB408CD"/>
    <w:rsid w:val="346C1432"/>
    <w:rsid w:val="3A0F4F77"/>
    <w:rsid w:val="7B4D2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Lines="50"/>
      <w:jc w:val="both"/>
    </w:pPr>
    <w:rPr>
      <w:rFonts w:ascii="Times New Roman" w:hAnsi="Times New Roman" w:eastAsia="宋体" w:cs="Times New Roman"/>
      <w:kern w:val="2"/>
      <w:sz w:val="21"/>
      <w:lang w:val="en-US" w:eastAsia="zh-CN" w:bidi="ar-SA"/>
    </w:rPr>
  </w:style>
  <w:style w:type="paragraph" w:styleId="7">
    <w:name w:val="heading 2"/>
    <w:basedOn w:val="1"/>
    <w:next w:val="1"/>
    <w:qFormat/>
    <w:uiPriority w:val="0"/>
    <w:pPr>
      <w:keepNext/>
      <w:keepLines/>
      <w:spacing w:beforeLines="0" w:after="260" w:line="415" w:lineRule="auto"/>
      <w:outlineLvl w:val="1"/>
    </w:pPr>
    <w:rPr>
      <w:rFonts w:ascii="Arial" w:hAnsi="Arial" w:eastAsia="黑体"/>
      <w:b/>
      <w:bCs/>
      <w:sz w:val="32"/>
      <w:szCs w:val="32"/>
    </w:rPr>
  </w:style>
  <w:style w:type="paragraph" w:styleId="8">
    <w:name w:val="heading 5"/>
    <w:basedOn w:val="1"/>
    <w:next w:val="1"/>
    <w:qFormat/>
    <w:uiPriority w:val="0"/>
    <w:pPr>
      <w:keepNext/>
      <w:keepLines/>
      <w:spacing w:beforeLines="0" w:after="120" w:line="360" w:lineRule="auto"/>
      <w:outlineLvl w:val="4"/>
    </w:pPr>
    <w:rPr>
      <w:rFonts w:eastAsia="微软雅黑"/>
      <w:b/>
      <w:bCs/>
      <w:sz w:val="24"/>
      <w:szCs w:val="24"/>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rFonts w:ascii="Calibri" w:hAnsi="Calibri" w:eastAsia="宋体" w:cs="Times New Roman"/>
      <w:szCs w:val="22"/>
    </w:rPr>
  </w:style>
  <w:style w:type="paragraph" w:styleId="3">
    <w:name w:val="Body Text"/>
    <w:basedOn w:val="1"/>
    <w:next w:val="4"/>
    <w:qFormat/>
    <w:uiPriority w:val="0"/>
    <w:pPr>
      <w:spacing w:after="120"/>
    </w:pPr>
  </w:style>
  <w:style w:type="paragraph" w:customStyle="1" w:styleId="4">
    <w:name w:val="style4"/>
    <w:basedOn w:val="5"/>
    <w:next w:val="6"/>
    <w:qFormat/>
    <w:uiPriority w:val="0"/>
    <w:pPr>
      <w:spacing w:before="100" w:beforeAutospacing="1" w:after="100" w:afterAutospacing="1"/>
      <w:jc w:val="left"/>
    </w:pPr>
    <w:rPr>
      <w:rFonts w:ascii="宋体" w:hAnsi="宋体" w:cs="宋体"/>
      <w:kern w:val="0"/>
      <w:sz w:val="18"/>
      <w:szCs w:val="18"/>
    </w:rPr>
  </w:style>
  <w:style w:type="paragraph" w:customStyle="1" w:styleId="5">
    <w:name w:val="正文1"/>
    <w:next w:val="2"/>
    <w:qFormat/>
    <w:uiPriority w:val="0"/>
    <w:pPr>
      <w:jc w:val="both"/>
    </w:pPr>
    <w:rPr>
      <w:rFonts w:ascii="Times New Roman" w:hAnsi="Times New Roman" w:eastAsia="宋体" w:cs="Times New Roman"/>
      <w:kern w:val="2"/>
      <w:sz w:val="21"/>
      <w:szCs w:val="21"/>
      <w:lang w:val="en-US" w:eastAsia="zh-CN" w:bidi="ar-SA"/>
    </w:rPr>
  </w:style>
  <w:style w:type="paragraph" w:customStyle="1" w:styleId="6">
    <w:name w:val="2"/>
    <w:basedOn w:val="1"/>
    <w:next w:val="1"/>
    <w:qFormat/>
    <w:uiPriority w:val="0"/>
    <w:pPr>
      <w:spacing w:line="360" w:lineRule="auto"/>
    </w:pPr>
    <w:rPr>
      <w:rFonts w:ascii="Times New Roman" w:hAnsi="Times New Roman" w:eastAsia="仿宋_GB2312"/>
      <w:sz w:val="28"/>
      <w:szCs w:val="28"/>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2025-08-01T07:38:00Z</dcterms:created>
  <dc:creator>Administrator</dc:creator>
  <cp:lastModifiedBy>Administrator</cp:lastModifiedBy>
  <cp:lastPrinted>2025-08-04T03:24:06Z</cp:lastPrinted>
  <dcterms:modified xsi:type="dcterms:W3CDTF">2025-08-04T03:57:33Z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45F1E43031BF4600B143904694E9E07A</vt:lpwstr>
  </property>
</Properties>
</file>