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OLE_LINK6" w:colFirst="0" w:colLast="1"/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评标方法</w:t>
      </w:r>
    </w:p>
    <w:tbl>
      <w:tblPr>
        <w:tblStyle w:val="9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6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2277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评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审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因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素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评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审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标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准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（满分30分）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报价得分=（基准价/最后报价）×30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技术需求评审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（满分25分）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vAlign w:val="center"/>
          </w:tcPr>
          <w:tbl>
            <w:tblPr>
              <w:tblStyle w:val="9"/>
              <w:tblW w:w="9296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84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  <w:lang w:eastAsia="zh-CN"/>
                    </w:rPr>
                    <w:t>供应商响应产品的技术服务及功能完全满足招标公告技术要求/需求的，得25分，每有一条▲参数不响应扣6.5分，每有一条</w:t>
                  </w:r>
                  <w:r>
                    <w:rPr>
                      <w:rFonts w:hint="eastAsia" w:ascii="仿宋" w:hAnsi="仿宋" w:eastAsia="仿宋" w:cs="仿宋"/>
                      <w:szCs w:val="21"/>
                      <w:lang w:val="en-US" w:eastAsia="zh-CN"/>
                    </w:rPr>
                    <w:t>非</w:t>
                  </w:r>
                  <w:r>
                    <w:rPr>
                      <w:rFonts w:hint="eastAsia" w:ascii="仿宋" w:hAnsi="仿宋" w:eastAsia="仿宋" w:cs="仿宋"/>
                      <w:szCs w:val="21"/>
                      <w:lang w:eastAsia="zh-CN"/>
                    </w:rPr>
                    <w:t>▲参数不响应扣4分，分数扣完为止。技术和功能响应未描述或未提供相应支撑材料的，对应项不得分。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业绩得分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(满分5分)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根据供应商提供2022年1月1日至今(以合同签订时间为准)独立承担过类似服务项目的，提供2个得基础分3分，每增加一个得1分，最高得5分。未提供业绩相关证明材料的不得分。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违约责任承诺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（满分15分）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第一个档次（11-15分）：供应商针对本项目提出的违约责任承诺内容详细、科学、合理，针对性强，具有较强的可操作性的；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第二个档次（6-10分）：供应商针对本项目提出的违约责任承诺内容基本完整，有一定的针对性、可操作性的；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第三个档次（1-5分）：供应商针对本项目提出的违约责任承诺内容不完整，针对性差、无可操作性的；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第四个档次（0分）：未提供相关内容的。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技术服务团队评审评分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（满分10分）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第一个档次（6-10分）：有完善的服务体系、管理体系，技术服务团队人员能及时响应并解决故障、技术力量及人员组成优；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第二个档次（2-5分）：有规范的服务体系、管理体系，现场服务技术力量及人员组成良好；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第三个档次（0-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1分）：服务体系、管理体系规范性一般，现场服务技术力量及人员组成一般。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质量承诺及保障措施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（满分15分）</w:t>
            </w:r>
          </w:p>
        </w:tc>
        <w:tc>
          <w:tcPr>
            <w:tcW w:w="68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第一个档次(11-15分)：质量承诺内容完整规范、科学合理、内容详细，保障措施切实可行，针对性强，完全满足采购人实际需求；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第二个档次(6-10分)：质量承诺内容完整、合理，保障措施基本可行，基本满足采购人实际需求；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第三个档次(1-5分)：质量承诺内容基本合理，保障措施不具可行性、针对性；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第四个档次(0分)：质量承诺不具针对性及可行性或无保障措施。备注：未提供质量承诺及保证措施的不得分。</w:t>
            </w:r>
          </w:p>
        </w:tc>
      </w:tr>
    </w:tbl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513A0"/>
    <w:rsid w:val="08840AD3"/>
    <w:rsid w:val="0D5513A0"/>
    <w:rsid w:val="102E3DB9"/>
    <w:rsid w:val="1E5E441A"/>
    <w:rsid w:val="25961EB9"/>
    <w:rsid w:val="3DA301A8"/>
    <w:rsid w:val="4AE836C7"/>
    <w:rsid w:val="59FB3706"/>
    <w:rsid w:val="71444B3B"/>
    <w:rsid w:val="7A68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5"/>
    <w:next w:val="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">
    <w:name w:val="正文1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"/>
    <w:basedOn w:val="1"/>
    <w:next w:val="1"/>
    <w:qFormat/>
    <w:uiPriority w:val="0"/>
    <w:pPr>
      <w:spacing w:line="360" w:lineRule="auto"/>
    </w:pPr>
    <w:rPr>
      <w:rFonts w:ascii="Times New Roman" w:hAnsi="Times New Roman" w:eastAsia="仿宋_GB2312"/>
      <w:sz w:val="28"/>
      <w:szCs w:val="28"/>
    </w:rPr>
  </w:style>
  <w:style w:type="paragraph" w:styleId="7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  <w:style w:type="paragraph" w:styleId="8">
    <w:name w:val="Plain Text"/>
    <w:basedOn w:val="1"/>
    <w:qFormat/>
    <w:uiPriority w:val="0"/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2025-06-16T03:40:00Z</dcterms:created>
  <dc:creator>Administrator</dc:creator>
  <cp:lastModifiedBy>WPS_1556114208</cp:lastModifiedBy>
  <dcterms:modified xsi:type="dcterms:W3CDTF">2025-10-14T01:59:58Z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46310E86A9804DEDAACD356EE0DEB140</vt:lpwstr>
  </property>
</Properties>
</file>