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E046B5D2">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昆明医科大学第二附属医院限制类医疗</w:t>
      </w:r>
    </w:p>
    <w:p w14:paraId="76A60121">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技术培训基地招生计划</w:t>
      </w:r>
    </w:p>
    <w:p w14:paraId="037EA438">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根据云南省医疗服务质量评估中心《医疗技术临床应用管理办法》、《关于2021年度医疗技术临床应用管理工作的通知》的要求，为加强限制类医疗技术临床应用的规范化管理与人才队伍建设，昆明医科大学第二附属医院限制类医疗技术临床应用规范化培训基地面向全省招收202</w:t>
      </w:r>
      <w:r>
        <w:rPr>
          <w:rFonts w:hint="default" w:hAnsi="仿宋_GB2312" w:eastAsia="仿宋_GB2312"/>
          <w:sz w:val="32"/>
          <w:szCs w:val="32"/>
          <w:lang w:val="en-US"/>
        </w:rPr>
        <w:t>6</w:t>
      </w:r>
      <w:r>
        <w:rPr>
          <w:rFonts w:hint="eastAsia" w:ascii="仿宋_GB2312" w:hAnsi="仿宋_GB2312" w:eastAsia="仿宋_GB2312"/>
          <w:sz w:val="32"/>
          <w:szCs w:val="32"/>
        </w:rPr>
        <w:t>年省级限制类医疗技术规范化培训学员，具体招生安排如下：</w:t>
      </w:r>
    </w:p>
    <w:p w14:paraId="659CBC3F">
      <w:pPr>
        <w:ind w:firstLine="640" w:firstLineChars="200"/>
        <w:rPr>
          <w:rFonts w:hint="eastAsia" w:ascii="黑体" w:hAnsi="黑体" w:eastAsia="黑体"/>
          <w:sz w:val="32"/>
          <w:szCs w:val="32"/>
        </w:rPr>
      </w:pPr>
      <w:r>
        <w:rPr>
          <w:rFonts w:hint="eastAsia" w:ascii="黑体" w:hAnsi="黑体" w:eastAsia="黑体"/>
          <w:sz w:val="32"/>
          <w:szCs w:val="32"/>
        </w:rPr>
        <w:t>一、招生计划（202</w:t>
      </w:r>
      <w:r>
        <w:rPr>
          <w:rFonts w:hint="default" w:ascii="黑体" w:hAnsi="黑体" w:eastAsia="黑体"/>
          <w:sz w:val="32"/>
          <w:szCs w:val="32"/>
          <w:lang w:val="en-US"/>
        </w:rPr>
        <w:t>6</w:t>
      </w:r>
      <w:r>
        <w:rPr>
          <w:rFonts w:hint="eastAsia" w:ascii="黑体" w:hAnsi="黑体" w:eastAsia="黑体"/>
          <w:sz w:val="32"/>
          <w:szCs w:val="32"/>
        </w:rPr>
        <w:t>年202</w:t>
      </w:r>
      <w:r>
        <w:rPr>
          <w:rFonts w:hint="default" w:ascii="黑体" w:hAnsi="黑体" w:eastAsia="黑体"/>
          <w:sz w:val="32"/>
          <w:szCs w:val="32"/>
          <w:lang w:val="en-US"/>
        </w:rPr>
        <w:t>6</w:t>
      </w:r>
      <w:r>
        <w:rPr>
          <w:rFonts w:hint="eastAsia" w:ascii="黑体" w:hAnsi="黑体" w:eastAsia="黑体"/>
          <w:sz w:val="32"/>
          <w:szCs w:val="32"/>
        </w:rPr>
        <w:t>01批次）</w:t>
      </w:r>
    </w:p>
    <w:tbl>
      <w:tblPr>
        <w:tblStyle w:val="2"/>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2951"/>
        <w:gridCol w:w="1184"/>
        <w:gridCol w:w="1260"/>
        <w:gridCol w:w="705"/>
        <w:gridCol w:w="1353"/>
        <w:gridCol w:w="632"/>
      </w:tblGrid>
      <w:tr w14:paraId="2EC4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4" w:type="dxa"/>
            <w:vAlign w:val="center"/>
          </w:tcPr>
          <w:p w14:paraId="DFBDC846">
            <w:pPr>
              <w:jc w:val="center"/>
              <w:rPr>
                <w:rFonts w:hint="eastAsia" w:ascii="宋体" w:hAnsi="宋体"/>
                <w:sz w:val="18"/>
                <w:szCs w:val="18"/>
              </w:rPr>
            </w:pPr>
            <w:r>
              <w:rPr>
                <w:rFonts w:hint="eastAsia" w:ascii="宋体" w:hAnsi="宋体"/>
                <w:sz w:val="18"/>
                <w:szCs w:val="18"/>
              </w:rPr>
              <w:t>序</w:t>
            </w:r>
          </w:p>
          <w:p w14:paraId="549AB93C">
            <w:pPr>
              <w:jc w:val="center"/>
              <w:rPr>
                <w:rFonts w:hint="eastAsia" w:ascii="宋体" w:hAnsi="宋体"/>
                <w:sz w:val="18"/>
                <w:szCs w:val="18"/>
              </w:rPr>
            </w:pPr>
            <w:r>
              <w:rPr>
                <w:rFonts w:hint="eastAsia" w:ascii="宋体" w:hAnsi="宋体"/>
                <w:sz w:val="18"/>
                <w:szCs w:val="18"/>
              </w:rPr>
              <w:t>号</w:t>
            </w:r>
          </w:p>
        </w:tc>
        <w:tc>
          <w:tcPr>
            <w:tcW w:w="2951" w:type="dxa"/>
            <w:vAlign w:val="center"/>
          </w:tcPr>
          <w:p w14:paraId="3BC8755F">
            <w:pPr>
              <w:jc w:val="center"/>
              <w:rPr>
                <w:rFonts w:hint="eastAsia" w:ascii="宋体" w:hAnsi="宋体"/>
                <w:sz w:val="18"/>
                <w:szCs w:val="18"/>
              </w:rPr>
            </w:pPr>
            <w:r>
              <w:rPr>
                <w:rFonts w:hint="eastAsia" w:ascii="宋体" w:hAnsi="宋体"/>
                <w:sz w:val="18"/>
                <w:szCs w:val="18"/>
              </w:rPr>
              <w:t>技术</w:t>
            </w:r>
          </w:p>
          <w:p w14:paraId="E6DF7C10">
            <w:pPr>
              <w:jc w:val="center"/>
              <w:rPr>
                <w:rFonts w:hint="eastAsia" w:ascii="宋体" w:hAnsi="宋体"/>
                <w:sz w:val="18"/>
                <w:szCs w:val="18"/>
              </w:rPr>
            </w:pPr>
            <w:r>
              <w:rPr>
                <w:rFonts w:hint="eastAsia" w:ascii="宋体" w:hAnsi="宋体"/>
                <w:sz w:val="18"/>
                <w:szCs w:val="18"/>
              </w:rPr>
              <w:t>名称</w:t>
            </w:r>
          </w:p>
        </w:tc>
        <w:tc>
          <w:tcPr>
            <w:tcW w:w="1184" w:type="dxa"/>
            <w:vAlign w:val="center"/>
          </w:tcPr>
          <w:p w14:paraId="27E1F6B7">
            <w:pPr>
              <w:jc w:val="center"/>
              <w:rPr>
                <w:rFonts w:hint="eastAsia" w:ascii="宋体" w:hAnsi="宋体"/>
                <w:sz w:val="18"/>
                <w:szCs w:val="18"/>
              </w:rPr>
            </w:pPr>
            <w:r>
              <w:rPr>
                <w:rFonts w:hint="eastAsia" w:ascii="宋体" w:hAnsi="宋体"/>
                <w:sz w:val="18"/>
                <w:szCs w:val="18"/>
              </w:rPr>
              <w:t>承担</w:t>
            </w:r>
          </w:p>
          <w:p w14:paraId="09A804F4">
            <w:pPr>
              <w:jc w:val="center"/>
              <w:rPr>
                <w:rFonts w:hint="eastAsia" w:ascii="宋体" w:hAnsi="宋体"/>
                <w:sz w:val="18"/>
                <w:szCs w:val="18"/>
              </w:rPr>
            </w:pPr>
            <w:r>
              <w:rPr>
                <w:rFonts w:hint="eastAsia" w:ascii="宋体" w:hAnsi="宋体"/>
                <w:sz w:val="18"/>
                <w:szCs w:val="18"/>
              </w:rPr>
              <w:t>科室</w:t>
            </w:r>
          </w:p>
        </w:tc>
        <w:tc>
          <w:tcPr>
            <w:tcW w:w="1260" w:type="dxa"/>
            <w:vAlign w:val="center"/>
          </w:tcPr>
          <w:p w14:paraId="17D02825">
            <w:pPr>
              <w:jc w:val="center"/>
              <w:rPr>
                <w:rFonts w:hint="eastAsia" w:ascii="宋体" w:hAnsi="宋体"/>
                <w:sz w:val="18"/>
                <w:szCs w:val="18"/>
              </w:rPr>
            </w:pPr>
            <w:r>
              <w:rPr>
                <w:rFonts w:hint="eastAsia" w:ascii="宋体" w:hAnsi="宋体"/>
                <w:sz w:val="18"/>
                <w:szCs w:val="18"/>
              </w:rPr>
              <w:t>培训</w:t>
            </w:r>
          </w:p>
          <w:p w14:paraId="D71DC288">
            <w:pPr>
              <w:jc w:val="center"/>
              <w:rPr>
                <w:rFonts w:hint="eastAsia" w:ascii="宋体" w:hAnsi="宋体"/>
                <w:sz w:val="18"/>
                <w:szCs w:val="18"/>
              </w:rPr>
            </w:pPr>
            <w:r>
              <w:rPr>
                <w:rFonts w:hint="eastAsia" w:ascii="宋体" w:hAnsi="宋体"/>
                <w:sz w:val="18"/>
                <w:szCs w:val="18"/>
              </w:rPr>
              <w:t>时间</w:t>
            </w:r>
          </w:p>
        </w:tc>
        <w:tc>
          <w:tcPr>
            <w:tcW w:w="705" w:type="dxa"/>
            <w:vAlign w:val="center"/>
          </w:tcPr>
          <w:p w14:paraId="E91D34D6">
            <w:pPr>
              <w:jc w:val="center"/>
              <w:rPr>
                <w:rFonts w:hint="eastAsia" w:ascii="宋体" w:hAnsi="宋体"/>
                <w:sz w:val="18"/>
                <w:szCs w:val="18"/>
              </w:rPr>
            </w:pPr>
            <w:r>
              <w:rPr>
                <w:rFonts w:hint="eastAsia" w:ascii="宋体" w:hAnsi="宋体"/>
                <w:sz w:val="18"/>
                <w:szCs w:val="18"/>
              </w:rPr>
              <w:t>招生</w:t>
            </w:r>
          </w:p>
          <w:p w14:paraId="0B8F5F06">
            <w:pPr>
              <w:jc w:val="center"/>
              <w:rPr>
                <w:rFonts w:hint="eastAsia" w:ascii="宋体" w:hAnsi="宋体"/>
                <w:sz w:val="18"/>
                <w:szCs w:val="18"/>
              </w:rPr>
            </w:pPr>
            <w:r>
              <w:rPr>
                <w:rFonts w:hint="eastAsia" w:ascii="宋体" w:hAnsi="宋体"/>
                <w:sz w:val="18"/>
                <w:szCs w:val="18"/>
              </w:rPr>
              <w:t>人数</w:t>
            </w:r>
          </w:p>
        </w:tc>
        <w:tc>
          <w:tcPr>
            <w:tcW w:w="1353" w:type="dxa"/>
            <w:vAlign w:val="center"/>
          </w:tcPr>
          <w:p w14:paraId="DBEF504B">
            <w:pPr>
              <w:jc w:val="center"/>
              <w:rPr>
                <w:rFonts w:hint="eastAsia" w:ascii="宋体" w:hAnsi="宋体"/>
                <w:sz w:val="18"/>
                <w:szCs w:val="18"/>
              </w:rPr>
            </w:pPr>
            <w:r>
              <w:rPr>
                <w:rFonts w:hint="eastAsia" w:ascii="宋体" w:hAnsi="宋体"/>
                <w:sz w:val="18"/>
                <w:szCs w:val="18"/>
              </w:rPr>
              <w:t>负责人及</w:t>
            </w:r>
          </w:p>
          <w:p w14:paraId="A0B1623A">
            <w:pPr>
              <w:jc w:val="center"/>
              <w:rPr>
                <w:rFonts w:hint="eastAsia" w:ascii="宋体" w:hAnsi="宋体"/>
                <w:sz w:val="18"/>
                <w:szCs w:val="18"/>
              </w:rPr>
            </w:pPr>
            <w:r>
              <w:rPr>
                <w:rFonts w:hint="eastAsia" w:ascii="宋体" w:hAnsi="宋体"/>
                <w:sz w:val="18"/>
                <w:szCs w:val="18"/>
              </w:rPr>
              <w:t>联系方式</w:t>
            </w:r>
          </w:p>
        </w:tc>
        <w:tc>
          <w:tcPr>
            <w:tcW w:w="632" w:type="dxa"/>
            <w:vAlign w:val="center"/>
          </w:tcPr>
          <w:p w14:paraId="CC9FEE9E">
            <w:pPr>
              <w:jc w:val="center"/>
              <w:rPr>
                <w:rFonts w:hint="eastAsia" w:ascii="宋体" w:hAnsi="宋体"/>
                <w:sz w:val="18"/>
                <w:szCs w:val="18"/>
              </w:rPr>
            </w:pPr>
            <w:r>
              <w:rPr>
                <w:rFonts w:hint="eastAsia" w:ascii="宋体" w:hAnsi="宋体"/>
                <w:sz w:val="18"/>
                <w:szCs w:val="18"/>
              </w:rPr>
              <w:t>培训</w:t>
            </w:r>
          </w:p>
          <w:p w14:paraId="57169E72">
            <w:pPr>
              <w:jc w:val="center"/>
              <w:rPr>
                <w:rFonts w:hint="eastAsia" w:ascii="宋体" w:hAnsi="宋体"/>
                <w:sz w:val="18"/>
                <w:szCs w:val="18"/>
              </w:rPr>
            </w:pPr>
            <w:r>
              <w:rPr>
                <w:rFonts w:hint="eastAsia" w:ascii="宋体" w:hAnsi="宋体"/>
                <w:sz w:val="18"/>
                <w:szCs w:val="18"/>
              </w:rPr>
              <w:t>费用</w:t>
            </w:r>
          </w:p>
        </w:tc>
      </w:tr>
      <w:tr w14:paraId="6D5E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4" w:type="dxa"/>
            <w:vAlign w:val="center"/>
          </w:tcPr>
          <w:p w14:paraId="20A6E3D4">
            <w:pPr>
              <w:jc w:val="center"/>
              <w:rPr>
                <w:rFonts w:hint="eastAsia" w:ascii="宋体" w:hAnsi="宋体"/>
                <w:sz w:val="18"/>
                <w:szCs w:val="18"/>
              </w:rPr>
            </w:pPr>
            <w:r>
              <w:rPr>
                <w:rFonts w:hint="eastAsia" w:ascii="宋体" w:hAnsi="宋体"/>
                <w:sz w:val="18"/>
                <w:szCs w:val="18"/>
              </w:rPr>
              <w:t>1</w:t>
            </w:r>
          </w:p>
        </w:tc>
        <w:tc>
          <w:tcPr>
            <w:tcW w:w="2951" w:type="dxa"/>
            <w:vAlign w:val="center"/>
          </w:tcPr>
          <w:p w14:paraId="1F2F0912">
            <w:pPr>
              <w:rPr>
                <w:rFonts w:hint="eastAsia" w:ascii="宋体" w:hAnsi="宋体"/>
                <w:sz w:val="18"/>
                <w:szCs w:val="18"/>
              </w:rPr>
            </w:pPr>
            <w:r>
              <w:rPr>
                <w:rFonts w:hint="eastAsia" w:ascii="宋体" w:hAnsi="宋体"/>
                <w:sz w:val="18"/>
                <w:szCs w:val="18"/>
              </w:rPr>
              <w:t>同种异体角膜移植诊疗技术</w:t>
            </w:r>
          </w:p>
        </w:tc>
        <w:tc>
          <w:tcPr>
            <w:tcW w:w="1184" w:type="dxa"/>
            <w:vAlign w:val="center"/>
          </w:tcPr>
          <w:p w14:paraId="2AB6B88F">
            <w:pPr>
              <w:jc w:val="center"/>
              <w:rPr>
                <w:rFonts w:hint="eastAsia" w:ascii="宋体" w:hAnsi="宋体"/>
                <w:sz w:val="18"/>
                <w:szCs w:val="18"/>
              </w:rPr>
            </w:pPr>
            <w:r>
              <w:rPr>
                <w:rFonts w:hint="eastAsia" w:ascii="宋体" w:hAnsi="宋体"/>
                <w:sz w:val="18"/>
                <w:szCs w:val="18"/>
              </w:rPr>
              <w:t>眼科</w:t>
            </w:r>
          </w:p>
        </w:tc>
        <w:tc>
          <w:tcPr>
            <w:tcW w:w="1260" w:type="dxa"/>
            <w:vAlign w:val="center"/>
          </w:tcPr>
          <w:p w14:paraId="B0B31593">
            <w:pPr>
              <w:jc w:val="center"/>
              <w:rPr>
                <w:rFonts w:hint="eastAsia" w:ascii="宋体" w:hAnsi="宋体"/>
                <w:sz w:val="18"/>
                <w:szCs w:val="18"/>
              </w:rPr>
            </w:pPr>
            <w:r>
              <w:rPr>
                <w:rFonts w:hint="eastAsia" w:ascii="宋体" w:hAnsi="宋体"/>
                <w:sz w:val="18"/>
                <w:szCs w:val="18"/>
              </w:rPr>
              <w:t>2026.3.1-</w:t>
            </w:r>
          </w:p>
          <w:p w14:paraId="0966AFF5">
            <w:pPr>
              <w:jc w:val="center"/>
              <w:rPr>
                <w:rFonts w:hint="eastAsia" w:ascii="宋体" w:hAnsi="宋体"/>
                <w:sz w:val="18"/>
                <w:szCs w:val="18"/>
              </w:rPr>
            </w:pPr>
            <w:r>
              <w:rPr>
                <w:rFonts w:hint="eastAsia" w:ascii="宋体" w:hAnsi="宋体"/>
                <w:sz w:val="18"/>
                <w:szCs w:val="18"/>
              </w:rPr>
              <w:t>2026.8.30</w:t>
            </w:r>
          </w:p>
        </w:tc>
        <w:tc>
          <w:tcPr>
            <w:tcW w:w="705" w:type="dxa"/>
            <w:vAlign w:val="center"/>
          </w:tcPr>
          <w:p w14:paraId="884891D4">
            <w:pPr>
              <w:jc w:val="center"/>
              <w:rPr>
                <w:rFonts w:hint="eastAsia" w:ascii="宋体" w:hAnsi="宋体"/>
                <w:sz w:val="18"/>
                <w:szCs w:val="18"/>
              </w:rPr>
            </w:pPr>
            <w:r>
              <w:rPr>
                <w:rFonts w:hint="eastAsia" w:ascii="宋体" w:hAnsi="宋体"/>
                <w:sz w:val="18"/>
              </w:rPr>
              <w:t>7</w:t>
            </w:r>
          </w:p>
        </w:tc>
        <w:tc>
          <w:tcPr>
            <w:tcW w:w="1353" w:type="dxa"/>
            <w:vAlign w:val="center"/>
          </w:tcPr>
          <w:p w14:paraId="9261A69A">
            <w:pPr>
              <w:jc w:val="center"/>
              <w:rPr>
                <w:rFonts w:hint="eastAsia" w:ascii="宋体" w:hAnsi="宋体"/>
                <w:sz w:val="18"/>
                <w:szCs w:val="18"/>
              </w:rPr>
            </w:pPr>
            <w:r>
              <w:rPr>
                <w:rFonts w:hint="eastAsia" w:ascii="宋体" w:hAnsi="宋体"/>
                <w:sz w:val="18"/>
                <w:szCs w:val="18"/>
              </w:rPr>
              <w:t>张远平13888685125</w:t>
            </w:r>
          </w:p>
        </w:tc>
        <w:tc>
          <w:tcPr>
            <w:tcW w:w="632" w:type="dxa"/>
            <w:vAlign w:val="center"/>
          </w:tcPr>
          <w:p w14:paraId="CC9A3483">
            <w:pPr>
              <w:jc w:val="center"/>
              <w:rPr>
                <w:rFonts w:hint="eastAsia" w:ascii="宋体" w:hAnsi="宋体"/>
                <w:sz w:val="18"/>
                <w:szCs w:val="18"/>
              </w:rPr>
            </w:pPr>
            <w:r>
              <w:rPr>
                <w:rFonts w:hint="eastAsia" w:ascii="宋体" w:hAnsi="宋体"/>
                <w:sz w:val="18"/>
                <w:szCs w:val="18"/>
              </w:rPr>
              <w:t>免费</w:t>
            </w:r>
          </w:p>
        </w:tc>
      </w:tr>
    </w:tbl>
    <w:p w14:paraId="DD7779FB">
      <w:pPr>
        <w:ind w:firstLine="640" w:firstLineChars="200"/>
        <w:rPr>
          <w:rFonts w:hint="eastAsia" w:ascii="黑体" w:hAnsi="黑体" w:eastAsia="黑体"/>
          <w:sz w:val="32"/>
          <w:szCs w:val="32"/>
        </w:rPr>
      </w:pPr>
      <w:r>
        <w:rPr>
          <w:rFonts w:hint="eastAsia" w:ascii="黑体" w:hAnsi="黑体" w:eastAsia="黑体"/>
          <w:sz w:val="32"/>
          <w:szCs w:val="32"/>
        </w:rPr>
        <w:t>二、基地特色</w:t>
      </w:r>
    </w:p>
    <w:p w14:paraId="64407F8C">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基地负责人张远平教授</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博士研究生导师、</w:t>
      </w:r>
      <w:r>
        <w:rPr>
          <w:rFonts w:hint="eastAsia" w:ascii="仿宋_GB2312" w:hAnsi="仿宋_GB2312" w:eastAsia="仿宋_GB2312"/>
          <w:sz w:val="32"/>
          <w:szCs w:val="32"/>
        </w:rPr>
        <w:t>“万人计划名医”</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昆明医科大学第二附属医院眼科主任，云南省中心眼库主任，</w:t>
      </w:r>
      <w:r>
        <w:rPr>
          <w:rFonts w:hint="eastAsia" w:ascii="仿宋_GB2312" w:hAnsi="仿宋_GB2312" w:eastAsia="仿宋_GB2312"/>
          <w:sz w:val="32"/>
          <w:szCs w:val="32"/>
        </w:rPr>
        <w:t>云南省医学会眼科分会副主任委员,云南省医学会眼科分会白内障学组组长，云南省医师协会眼科分会副主任委员。</w:t>
      </w:r>
    </w:p>
    <w:p w14:paraId="232E8931">
      <w:pPr>
        <w:widowControl/>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眼科以“云南省万人计划名医”为学科带头人，已形成“角膜病</w:t>
      </w:r>
      <w:r>
        <w:rPr>
          <w:rFonts w:hint="eastAsia" w:ascii="仿宋_GB2312" w:hAnsi="仿宋_GB2312" w:eastAsia="仿宋_GB2312"/>
          <w:sz w:val="32"/>
          <w:szCs w:val="32"/>
          <w:lang w:val="en-US" w:eastAsia="zh-CN"/>
        </w:rPr>
        <w:t>角膜移植、</w:t>
      </w:r>
      <w:r>
        <w:rPr>
          <w:rFonts w:hint="eastAsia" w:ascii="仿宋_GB2312" w:hAnsi="仿宋_GB2312" w:eastAsia="仿宋_GB2312"/>
          <w:sz w:val="32"/>
          <w:szCs w:val="32"/>
        </w:rPr>
        <w:t>白内障、青光眼”“眼眶病、眼整形、眼肿瘤”“斜弱视、屈光不正、儿童眼科”</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“玻璃体视网膜疾病”</w:t>
      </w:r>
      <w:r>
        <w:rPr>
          <w:rFonts w:hint="eastAsia" w:ascii="仿宋_GB2312" w:hAnsi="仿宋_GB2312" w:eastAsia="仿宋_GB2312"/>
          <w:sz w:val="32"/>
          <w:szCs w:val="32"/>
          <w:lang w:val="en-US" w:eastAsia="zh-CN"/>
        </w:rPr>
        <w:t>等完善的</w:t>
      </w:r>
      <w:r>
        <w:rPr>
          <w:rFonts w:hint="eastAsia" w:ascii="仿宋_GB2312" w:hAnsi="仿宋_GB2312" w:eastAsia="仿宋_GB2312"/>
          <w:sz w:val="32"/>
          <w:szCs w:val="32"/>
        </w:rPr>
        <w:t>亚专业群组，对眼科疾病实施精准高效的综合诊治。</w:t>
      </w:r>
    </w:p>
    <w:p w14:paraId="500E2553">
      <w:pPr>
        <w:widowControl/>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附二院眼科是云南省最早开展角膜移植的单位，同时也是云南省中心眼库的依托单位，是云南省角膜病学组副组长单位，多年来，</w:t>
      </w:r>
      <w:r>
        <w:rPr>
          <w:rFonts w:hint="eastAsia" w:ascii="仿宋_GB2312" w:hAnsi="仿宋_GB2312" w:eastAsia="仿宋_GB2312"/>
          <w:sz w:val="32"/>
          <w:szCs w:val="32"/>
        </w:rPr>
        <w:t>依托云南省中心眼库及OPO组织科室开展同种异体角膜移植术，</w:t>
      </w:r>
      <w:r>
        <w:rPr>
          <w:rFonts w:hint="eastAsia" w:ascii="仿宋_GB2312" w:hAnsi="仿宋_GB2312" w:eastAsia="仿宋_GB2312"/>
          <w:sz w:val="32"/>
          <w:szCs w:val="32"/>
          <w:lang w:val="en-US" w:eastAsia="zh-CN"/>
        </w:rPr>
        <w:t>包括穿透性角膜移植术、板层角膜移植术，角膜缘移植术、角膜内皮移植术，</w:t>
      </w:r>
      <w:r>
        <w:rPr>
          <w:rFonts w:hint="eastAsia" w:ascii="仿宋_GB2312" w:hAnsi="仿宋_GB2312" w:eastAsia="仿宋_GB2312"/>
          <w:sz w:val="32"/>
          <w:szCs w:val="32"/>
        </w:rPr>
        <w:t>累及开展角膜移植手术约1500例。</w:t>
      </w:r>
    </w:p>
    <w:p w14:paraId="6C08441E">
      <w:pPr>
        <w:widowControl/>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val="en-US" w:eastAsia="zh-CN"/>
        </w:rPr>
        <w:t>眼科</w:t>
      </w:r>
      <w:r>
        <w:rPr>
          <w:rFonts w:hint="eastAsia" w:ascii="仿宋_GB2312" w:hAnsi="仿宋_GB2312" w:eastAsia="仿宋_GB2312"/>
          <w:sz w:val="32"/>
          <w:szCs w:val="32"/>
        </w:rPr>
        <w:t>整合省内优秀导师，在医院临床技能中心建立眼科显微技术培训中心</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目前已开展多期眼科显微技术培训班及白内障技能培训班，</w:t>
      </w:r>
      <w:r>
        <w:rPr>
          <w:rFonts w:hint="eastAsia" w:ascii="仿宋_GB2312" w:hAnsi="仿宋_GB2312" w:eastAsia="仿宋_GB2312"/>
          <w:sz w:val="32"/>
          <w:szCs w:val="32"/>
        </w:rPr>
        <w:t>培训</w:t>
      </w:r>
      <w:r>
        <w:rPr>
          <w:rFonts w:hint="eastAsia" w:ascii="仿宋_GB2312" w:hAnsi="仿宋_GB2312" w:eastAsia="仿宋_GB2312"/>
          <w:sz w:val="32"/>
          <w:szCs w:val="32"/>
          <w:lang w:val="en-US" w:eastAsia="zh-CN"/>
        </w:rPr>
        <w:t>中心</w:t>
      </w:r>
      <w:r>
        <w:rPr>
          <w:rFonts w:hint="eastAsia" w:ascii="仿宋_GB2312" w:hAnsi="仿宋_GB2312" w:eastAsia="仿宋_GB2312"/>
          <w:sz w:val="32"/>
          <w:szCs w:val="32"/>
        </w:rPr>
        <w:t>有眼科显微镜及眼科显微器械</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角膜移植器械</w:t>
      </w:r>
      <w:r>
        <w:rPr>
          <w:rFonts w:hint="eastAsia" w:ascii="仿宋_GB2312" w:hAnsi="仿宋_GB2312" w:eastAsia="仿宋_GB2312"/>
          <w:sz w:val="32"/>
          <w:szCs w:val="32"/>
        </w:rPr>
        <w:t>，可以为学员提高良好的动物眼训练</w:t>
      </w:r>
      <w:bookmarkStart w:id="0" w:name="_GoBack"/>
      <w:bookmarkEnd w:id="0"/>
      <w:r>
        <w:rPr>
          <w:rFonts w:hint="eastAsia" w:ascii="仿宋_GB2312" w:hAnsi="仿宋_GB2312" w:eastAsia="仿宋_GB2312"/>
          <w:sz w:val="32"/>
          <w:szCs w:val="32"/>
        </w:rPr>
        <w:t>。</w:t>
      </w:r>
    </w:p>
    <w:p w14:paraId="55BE9DA8">
      <w:pPr>
        <w:jc w:val="left"/>
        <w:rPr>
          <w:rFonts w:ascii="宋体" w:hAnsi="宋体"/>
          <w:sz w:val="30"/>
          <w:szCs w:val="30"/>
        </w:rPr>
      </w:pPr>
      <w:r>
        <w:rPr>
          <w:rFonts w:ascii="宋体" w:hAnsi="宋体"/>
          <w:sz w:val="30"/>
          <w:szCs w:val="30"/>
        </w:rPr>
        <w:drawing>
          <wp:inline distT="0" distB="0" distL="0" distR="0">
            <wp:extent cx="1714500" cy="1275715"/>
            <wp:effectExtent l="0" t="0" r="0" b="0"/>
            <wp:docPr id="1026" name="_x0000_i1026"/>
            <wp:cNvGraphicFramePr/>
            <a:graphic xmlns:a="http://schemas.openxmlformats.org/drawingml/2006/main">
              <a:graphicData uri="http://schemas.openxmlformats.org/drawingml/2006/picture">
                <pic:pic xmlns:pic="http://schemas.openxmlformats.org/drawingml/2006/picture">
                  <pic:nvPicPr>
                    <pic:cNvPr id="1026" name="_x0000_i1026"/>
                    <pic:cNvPicPr/>
                  </pic:nvPicPr>
                  <pic:blipFill>
                    <a:blip r:embed="rId4" cstate="print"/>
                    <a:srcRect/>
                    <a:stretch>
                      <a:fillRect/>
                    </a:stretch>
                  </pic:blipFill>
                  <pic:spPr>
                    <a:xfrm>
                      <a:off x="0" y="0"/>
                      <a:ext cx="1714500" cy="1275740"/>
                    </a:xfrm>
                    <a:prstGeom prst="rect">
                      <a:avLst/>
                    </a:prstGeom>
                  </pic:spPr>
                </pic:pic>
              </a:graphicData>
            </a:graphic>
          </wp:inline>
        </w:drawing>
      </w:r>
      <w:r>
        <w:drawing>
          <wp:inline distT="0" distB="0" distL="0" distR="0">
            <wp:extent cx="1677670" cy="1257935"/>
            <wp:effectExtent l="0" t="0" r="0" b="0"/>
            <wp:docPr id="1027" name="_x0000_i1027"/>
            <wp:cNvGraphicFramePr/>
            <a:graphic xmlns:a="http://schemas.openxmlformats.org/drawingml/2006/main">
              <a:graphicData uri="http://schemas.openxmlformats.org/drawingml/2006/picture">
                <pic:pic xmlns:pic="http://schemas.openxmlformats.org/drawingml/2006/picture">
                  <pic:nvPicPr>
                    <pic:cNvPr id="1027" name="_x0000_i1027"/>
                    <pic:cNvPicPr/>
                  </pic:nvPicPr>
                  <pic:blipFill>
                    <a:blip r:embed="rId5" cstate="print"/>
                    <a:srcRect/>
                    <a:stretch>
                      <a:fillRect/>
                    </a:stretch>
                  </pic:blipFill>
                  <pic:spPr>
                    <a:xfrm>
                      <a:off x="0" y="0"/>
                      <a:ext cx="1677670" cy="1257935"/>
                    </a:xfrm>
                    <a:prstGeom prst="rect">
                      <a:avLst/>
                    </a:prstGeom>
                  </pic:spPr>
                </pic:pic>
              </a:graphicData>
            </a:graphic>
          </wp:inline>
        </w:drawing>
      </w:r>
      <w:r>
        <w:rPr>
          <w:rFonts w:ascii="宋体" w:hAnsi="宋体"/>
          <w:sz w:val="30"/>
          <w:szCs w:val="30"/>
        </w:rPr>
        <w:drawing>
          <wp:inline distT="0" distB="0" distL="0" distR="0">
            <wp:extent cx="1758315" cy="1254760"/>
            <wp:effectExtent l="0" t="0" r="0" b="0"/>
            <wp:docPr id="1028" name="_x0000_i1028"/>
            <wp:cNvGraphicFramePr/>
            <a:graphic xmlns:a="http://schemas.openxmlformats.org/drawingml/2006/main">
              <a:graphicData uri="http://schemas.openxmlformats.org/drawingml/2006/picture">
                <pic:pic xmlns:pic="http://schemas.openxmlformats.org/drawingml/2006/picture">
                  <pic:nvPicPr>
                    <pic:cNvPr id="1028" name="_x0000_i1028"/>
                    <pic:cNvPicPr/>
                  </pic:nvPicPr>
                  <pic:blipFill>
                    <a:blip r:embed="rId6" cstate="print"/>
                    <a:srcRect/>
                    <a:stretch>
                      <a:fillRect/>
                    </a:stretch>
                  </pic:blipFill>
                  <pic:spPr>
                    <a:xfrm>
                      <a:off x="0" y="0"/>
                      <a:ext cx="1758315" cy="1254781"/>
                    </a:xfrm>
                    <a:prstGeom prst="rect">
                      <a:avLst/>
                    </a:prstGeom>
                  </pic:spPr>
                </pic:pic>
              </a:graphicData>
            </a:graphic>
          </wp:inline>
        </w:drawing>
      </w:r>
    </w:p>
    <w:p w14:paraId="19C68BFF">
      <w:pPr>
        <w:ind w:firstLine="640" w:firstLineChars="200"/>
        <w:rPr>
          <w:rFonts w:hint="eastAsia" w:ascii="黑体" w:hAnsi="黑体" w:eastAsia="黑体"/>
          <w:sz w:val="32"/>
          <w:szCs w:val="32"/>
        </w:rPr>
      </w:pPr>
      <w:r>
        <w:rPr>
          <w:rFonts w:hint="eastAsia" w:ascii="黑体" w:hAnsi="黑体" w:eastAsia="黑体"/>
          <w:sz w:val="32"/>
          <w:szCs w:val="32"/>
        </w:rPr>
        <w:t>三、报名方式</w:t>
      </w:r>
    </w:p>
    <w:p w14:paraId="76D3237F">
      <w:pPr>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1.符合资格要求的学员可联系对应专业的基地负责人，经负责人初步审核通过后，由“云南医评”微信公众号进入报名通道进行报名，经医评中心审核通过后，请</w:t>
      </w:r>
      <w:r>
        <w:rPr>
          <w:rFonts w:hint="eastAsia" w:ascii="仿宋_GB2312" w:hAnsi="仿宋_GB2312" w:eastAsia="仿宋_GB2312"/>
          <w:sz w:val="32"/>
          <w:szCs w:val="32"/>
          <w:shd w:val="clear" w:color="auto" w:fill="FFFFFF"/>
        </w:rPr>
        <w:t>扫描申请人医师资格证书、医师执业证书、职称证书及身份证至我院医务处邮箱：kyfey</w:t>
      </w:r>
      <w:r>
        <w:rPr>
          <w:rFonts w:hint="eastAsia" w:ascii="仿宋_GB2312" w:hAnsi="仿宋_GB2312" w:eastAsia="仿宋_GB2312"/>
          <w:sz w:val="32"/>
          <w:szCs w:val="32"/>
          <w:shd w:val="clear" w:color="auto" w:fill="FFFFFF"/>
          <w:lang w:val="en-US" w:eastAsia="zh-CN"/>
        </w:rPr>
        <w:t>hfb</w:t>
      </w:r>
      <w:r>
        <w:rPr>
          <w:rFonts w:hint="eastAsia" w:ascii="仿宋_GB2312" w:hAnsi="仿宋_GB2312" w:eastAsia="仿宋_GB2312"/>
          <w:sz w:val="32"/>
          <w:szCs w:val="32"/>
          <w:shd w:val="clear" w:color="auto" w:fill="FFFFFF"/>
        </w:rPr>
        <w:t>@163.com。</w:t>
      </w:r>
    </w:p>
    <w:p w14:paraId="78A7FA64">
      <w:pPr>
        <w:pStyle w:val="11"/>
        <w:widowControl/>
        <w:shd w:val="clear" w:color="auto" w:fill="FFFFFF"/>
        <w:spacing w:before="0" w:beforeAutospacing="0" w:after="0" w:afterAutospacing="0"/>
        <w:ind w:firstLine="64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2.各培训基地根据培训方案和计划，按照公平公开、择优录取、双向选择的原则决定是否接受参培医师，名额招满即止。</w:t>
      </w:r>
    </w:p>
    <w:p w14:paraId="CAFF01A5">
      <w:pPr>
        <w:pStyle w:val="11"/>
        <w:widowControl/>
        <w:shd w:val="clear" w:color="auto" w:fill="FFFFFF"/>
        <w:spacing w:before="0" w:beforeAutospacing="0" w:after="0" w:afterAutospacing="0"/>
        <w:ind w:firstLine="64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3.时间：开班前3个工作日，开班后一周内未报到者我院有权终止其培训。报到时，申请人须携带加盖公章的《昆明医科大学第二附属医院进修申请表》及其要求的相关证书原件及材料至医院医务处报到（8号楼207办公室）。</w:t>
      </w:r>
    </w:p>
    <w:p w14:paraId="750E8DC4">
      <w:pPr>
        <w:pStyle w:val="11"/>
        <w:widowControl/>
        <w:shd w:val="clear" w:color="auto" w:fill="FFFFFF"/>
        <w:spacing w:before="0" w:beforeAutospacing="0" w:after="0" w:afterAutospacing="0"/>
        <w:ind w:firstLine="645"/>
        <w:jc w:val="both"/>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四、培训内容</w:t>
      </w:r>
    </w:p>
    <w:p w14:paraId="F0E1D769">
      <w:pPr>
        <w:pStyle w:val="11"/>
        <w:widowControl/>
        <w:shd w:val="clear" w:color="auto" w:fill="FFFFFF"/>
        <w:spacing w:before="0" w:beforeAutospacing="0" w:after="0" w:afterAutospacing="0"/>
        <w:ind w:firstLine="64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（一）培训形式</w:t>
      </w:r>
    </w:p>
    <w:p w14:paraId="DF3130AB">
      <w:pPr>
        <w:pStyle w:val="11"/>
        <w:widowControl/>
        <w:shd w:val="clear" w:color="auto" w:fill="FFFFFF"/>
        <w:spacing w:before="0" w:beforeAutospacing="0" w:after="0" w:afterAutospacing="0"/>
        <w:ind w:firstLine="64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理论基础、实践操作、结业考核等。</w:t>
      </w:r>
    </w:p>
    <w:p w14:paraId="6C3A9768">
      <w:pPr>
        <w:pStyle w:val="11"/>
        <w:widowControl/>
        <w:shd w:val="clear" w:color="auto" w:fill="FFFFFF"/>
        <w:spacing w:before="0" w:beforeAutospacing="0" w:after="0" w:afterAutospacing="0"/>
        <w:ind w:firstLine="64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（二）学习期限</w:t>
      </w:r>
    </w:p>
    <w:p w14:paraId="7FC45101">
      <w:pPr>
        <w:pStyle w:val="11"/>
        <w:widowControl/>
        <w:shd w:val="clear" w:color="auto" w:fill="FFFFFF"/>
        <w:spacing w:before="0" w:beforeAutospacing="0" w:after="0" w:afterAutospacing="0"/>
        <w:ind w:firstLine="64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根据各限制类临床应用管理规范（2019版）要求确定。</w:t>
      </w:r>
    </w:p>
    <w:p w14:paraId="8041F329">
      <w:pPr>
        <w:pStyle w:val="11"/>
        <w:widowControl/>
        <w:shd w:val="clear" w:color="auto" w:fill="FFFFFF"/>
        <w:spacing w:before="0" w:beforeAutospacing="0" w:after="0" w:afterAutospacing="0"/>
        <w:ind w:firstLine="64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（三）费用</w:t>
      </w:r>
    </w:p>
    <w:p w14:paraId="EA427F86">
      <w:pPr>
        <w:pStyle w:val="11"/>
        <w:widowControl/>
        <w:shd w:val="clear" w:color="auto" w:fill="FFFFFF"/>
        <w:spacing w:before="0" w:beforeAutospacing="0" w:after="0" w:afterAutospacing="0"/>
        <w:ind w:firstLine="64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限制类医疗技术规范化培训为免费，产生的交通费及住宿费用由派出单位承担。</w:t>
      </w:r>
    </w:p>
    <w:p w14:paraId="549F32EB">
      <w:pPr>
        <w:pStyle w:val="11"/>
        <w:widowControl/>
        <w:shd w:val="clear" w:color="auto" w:fill="FFFFFF"/>
        <w:spacing w:before="0" w:beforeAutospacing="0" w:after="0" w:afterAutospacing="0"/>
        <w:ind w:firstLine="645"/>
        <w:jc w:val="both"/>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五、证书授予</w:t>
      </w:r>
    </w:p>
    <w:p w14:paraId="99B704F6">
      <w:pPr>
        <w:pStyle w:val="11"/>
        <w:widowControl/>
        <w:shd w:val="clear" w:color="auto" w:fill="FFFFFF"/>
        <w:spacing w:before="0" w:beforeAutospacing="0" w:after="0" w:afterAutospacing="0"/>
        <w:ind w:firstLine="64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培训合格者，进入云南医评公众号培训工作板块领取《限制类医疗技术规范化培训合格证书》，该证书将作为医师申请个人限制类医疗技术备案的重要依据；同时，培训时间大于6个月的合格者可向医院申请《进修结业证书》。</w:t>
      </w:r>
    </w:p>
    <w:p w14:paraId="4643B74C">
      <w:pPr>
        <w:pStyle w:val="11"/>
        <w:widowControl/>
        <w:shd w:val="clear" w:color="auto" w:fill="FFFFFF"/>
        <w:spacing w:before="0" w:beforeAutospacing="0" w:after="0" w:afterAutospacing="0"/>
        <w:ind w:firstLine="645"/>
        <w:jc w:val="both"/>
        <w:rPr>
          <w:rFonts w:hint="eastAsia" w:ascii="黑体" w:hAnsi="黑体" w:eastAsia="黑体"/>
          <w:sz w:val="32"/>
          <w:szCs w:val="32"/>
          <w:shd w:val="clear" w:color="auto" w:fill="FFFFFF"/>
        </w:rPr>
      </w:pPr>
      <w:r>
        <w:rPr>
          <w:rFonts w:hint="eastAsia" w:ascii="黑体" w:hAnsi="黑体" w:eastAsia="黑体"/>
          <w:sz w:val="32"/>
          <w:szCs w:val="32"/>
          <w:shd w:val="clear" w:color="auto" w:fill="FFFFFF"/>
        </w:rPr>
        <w:t>六、其他注意事项</w:t>
      </w:r>
    </w:p>
    <w:p w14:paraId="C1F466BC">
      <w:pPr>
        <w:pStyle w:val="11"/>
        <w:widowControl/>
        <w:shd w:val="clear" w:color="auto" w:fill="FFFFFF"/>
        <w:spacing w:before="0" w:beforeAutospacing="0" w:after="0" w:afterAutospacing="0"/>
        <w:ind w:firstLine="70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（一）培训学员</w:t>
      </w:r>
      <w:r>
        <w:rPr>
          <w:rFonts w:hint="eastAsia" w:ascii="仿宋_GB2312" w:hAnsi="仿宋_GB2312" w:eastAsia="仿宋_GB2312"/>
          <w:sz w:val="32"/>
          <w:szCs w:val="32"/>
        </w:rPr>
        <w:t>资格要求</w:t>
      </w:r>
      <w:r>
        <w:rPr>
          <w:rFonts w:hint="eastAsia" w:ascii="仿宋_GB2312" w:hAnsi="仿宋_GB2312" w:eastAsia="仿宋_GB2312"/>
          <w:spacing w:val="15"/>
          <w:sz w:val="32"/>
          <w:szCs w:val="32"/>
          <w:shd w:val="clear" w:color="auto" w:fill="FFFFFF"/>
        </w:rPr>
        <w:t>：</w:t>
      </w:r>
    </w:p>
    <w:p w14:paraId="7504EAC4">
      <w:pPr>
        <w:pStyle w:val="11"/>
        <w:widowControl/>
        <w:shd w:val="clear" w:color="auto" w:fill="FFFFFF"/>
        <w:spacing w:before="0" w:beforeAutospacing="0" w:after="0" w:afterAutospacing="0"/>
        <w:ind w:firstLine="705"/>
        <w:jc w:val="both"/>
        <w:rPr>
          <w:rFonts w:hint="eastAsia" w:ascii="仿宋_GB2312" w:hAnsi="仿宋_GB2312" w:eastAsia="仿宋_GB2312"/>
          <w:spacing w:val="15"/>
          <w:sz w:val="32"/>
          <w:szCs w:val="32"/>
          <w:shd w:val="clear" w:color="auto" w:fill="FFFFFF"/>
        </w:rPr>
      </w:pPr>
      <w:r>
        <w:rPr>
          <w:rFonts w:hint="eastAsia" w:ascii="仿宋_GB2312" w:hAnsi="仿宋_GB2312" w:eastAsia="仿宋_GB2312"/>
          <w:spacing w:val="15"/>
          <w:sz w:val="32"/>
          <w:szCs w:val="32"/>
          <w:shd w:val="clear" w:color="auto" w:fill="FFFFFF"/>
        </w:rPr>
        <w:t>1.二级以上公立医院（含县级）医院、大型厂矿职工医院或部队团以上医疗机构执业医师；</w:t>
      </w:r>
    </w:p>
    <w:p w14:paraId="E009D2B4">
      <w:pPr>
        <w:pStyle w:val="11"/>
        <w:widowControl/>
        <w:shd w:val="clear" w:color="auto" w:fill="FFFFFF"/>
        <w:spacing w:before="0" w:beforeAutospacing="0" w:after="0" w:afterAutospacing="0"/>
        <w:ind w:firstLine="705"/>
        <w:jc w:val="both"/>
        <w:rPr>
          <w:rFonts w:hint="eastAsia" w:ascii="仿宋_GB2312" w:hAnsi="仿宋_GB2312" w:eastAsia="仿宋_GB2312"/>
          <w:spacing w:val="15"/>
          <w:sz w:val="32"/>
          <w:szCs w:val="32"/>
          <w:shd w:val="clear" w:color="auto" w:fill="FFFFFF"/>
        </w:rPr>
      </w:pPr>
      <w:r>
        <w:rPr>
          <w:rFonts w:hint="eastAsia" w:ascii="仿宋_GB2312" w:hAnsi="仿宋_GB2312" w:eastAsia="仿宋_GB2312"/>
          <w:spacing w:val="15"/>
          <w:sz w:val="32"/>
          <w:szCs w:val="32"/>
          <w:shd w:val="clear" w:color="auto" w:fill="FFFFFF"/>
        </w:rPr>
        <w:t>2.经过注册的执业医师，其注册类别和执业范围须与所申请培训技术要求的专业一致；</w:t>
      </w:r>
    </w:p>
    <w:p w14:paraId="11E0B989">
      <w:pPr>
        <w:pStyle w:val="11"/>
        <w:widowControl/>
        <w:shd w:val="clear" w:color="auto" w:fill="FFFFFF"/>
        <w:spacing w:before="0" w:beforeAutospacing="0" w:after="0" w:afterAutospacing="0"/>
        <w:ind w:firstLine="705"/>
        <w:jc w:val="both"/>
        <w:rPr>
          <w:rFonts w:hint="eastAsia" w:ascii="仿宋_GB2312" w:hAnsi="仿宋_GB2312" w:eastAsia="仿宋_GB2312"/>
          <w:spacing w:val="15"/>
          <w:sz w:val="32"/>
          <w:szCs w:val="32"/>
          <w:shd w:val="clear" w:color="auto" w:fill="FFFFFF"/>
        </w:rPr>
      </w:pPr>
      <w:r>
        <w:rPr>
          <w:rFonts w:hint="eastAsia" w:ascii="仿宋_GB2312" w:hAnsi="仿宋_GB2312" w:eastAsia="仿宋_GB2312"/>
          <w:spacing w:val="15"/>
          <w:sz w:val="32"/>
          <w:szCs w:val="32"/>
          <w:shd w:val="clear" w:color="auto" w:fill="FFFFFF"/>
        </w:rPr>
        <w:t>3.符合各限制类医疗技术诊临床应用管理规范（2019版）相关要求，取得中职及以上资格；</w:t>
      </w:r>
    </w:p>
    <w:p w14:paraId="014B1919">
      <w:pPr>
        <w:pStyle w:val="11"/>
        <w:widowControl/>
        <w:shd w:val="clear" w:color="auto" w:fill="FFFFFF"/>
        <w:spacing w:before="0" w:beforeAutospacing="0" w:after="0" w:afterAutospacing="0"/>
        <w:ind w:firstLine="705"/>
        <w:jc w:val="both"/>
        <w:rPr>
          <w:rFonts w:hint="eastAsia" w:ascii="仿宋_GB2312" w:hAnsi="仿宋_GB2312" w:eastAsia="仿宋_GB2312"/>
          <w:spacing w:val="15"/>
          <w:sz w:val="32"/>
          <w:szCs w:val="32"/>
          <w:shd w:val="clear" w:color="auto" w:fill="FFFFFF"/>
        </w:rPr>
      </w:pPr>
      <w:r>
        <w:rPr>
          <w:rFonts w:hint="eastAsia" w:ascii="仿宋_GB2312" w:hAnsi="仿宋_GB2312" w:eastAsia="仿宋_GB2312"/>
          <w:spacing w:val="15"/>
          <w:sz w:val="32"/>
          <w:szCs w:val="32"/>
          <w:shd w:val="clear" w:color="auto" w:fill="FFFFFF"/>
        </w:rPr>
        <w:t>4.怀孕、哺乳期、有传染病等影响培训学习效果及考核的医师不予以接收。</w:t>
      </w:r>
    </w:p>
    <w:p w14:paraId="A47324CC">
      <w:pPr>
        <w:pStyle w:val="11"/>
        <w:widowControl/>
        <w:shd w:val="clear" w:color="auto" w:fill="FFFFFF"/>
        <w:spacing w:before="0" w:beforeAutospacing="0" w:after="0" w:afterAutospacing="0"/>
        <w:ind w:firstLine="70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（二）培训学习期间必须遵守各基地学员管理要求及进修医师管理相关规定；严格遵守医院各项规章制度及劳动纪律，请假者须报备批准；</w:t>
      </w:r>
    </w:p>
    <w:p w14:paraId="41613AF9">
      <w:pPr>
        <w:pStyle w:val="11"/>
        <w:widowControl/>
        <w:shd w:val="clear" w:color="auto" w:fill="FFFFFF"/>
        <w:spacing w:before="0" w:beforeAutospacing="0" w:after="0" w:afterAutospacing="0"/>
        <w:ind w:firstLine="70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（三）培训学员需配合医院做好培训期间安全管理，遇到任何安全问题可随时联系医务处、保卫处、后勤服务中心。</w:t>
      </w:r>
    </w:p>
    <w:p w14:paraId="B452373B">
      <w:pPr>
        <w:pStyle w:val="11"/>
        <w:widowControl/>
        <w:shd w:val="clear" w:color="auto" w:fill="FFFFFF"/>
        <w:spacing w:before="0" w:beforeAutospacing="0" w:after="0" w:afterAutospacing="0"/>
        <w:ind w:firstLine="70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联系方式：</w:t>
      </w:r>
    </w:p>
    <w:p w14:paraId="13C40536">
      <w:pPr>
        <w:pStyle w:val="11"/>
        <w:widowControl/>
        <w:shd w:val="clear" w:color="auto" w:fill="FFFFFF"/>
        <w:spacing w:before="0" w:beforeAutospacing="0" w:after="0" w:afterAutospacing="0"/>
        <w:ind w:firstLine="705"/>
        <w:jc w:val="both"/>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昆明医科大学第二附属医院医务处：0871-6340225</w:t>
      </w:r>
      <w:r>
        <w:rPr>
          <w:rFonts w:hint="eastAsia" w:ascii="仿宋_GB2312" w:hAnsi="仿宋_GB2312" w:eastAsia="仿宋_GB2312"/>
          <w:sz w:val="32"/>
          <w:szCs w:val="32"/>
          <w:shd w:val="clear" w:color="auto" w:fill="FFFFFF"/>
          <w:lang w:val="en-US" w:eastAsia="zh-CN"/>
        </w:rPr>
        <w:t>1 唐老师</w:t>
      </w:r>
      <w:r>
        <w:rPr>
          <w:rFonts w:hint="eastAsia" w:ascii="仿宋_GB2312" w:hAnsi="仿宋_GB2312" w:eastAsia="仿宋_GB2312"/>
          <w:sz w:val="32"/>
          <w:szCs w:val="32"/>
          <w:shd w:val="clear" w:color="auto" w:fill="FFFFFF"/>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9462E"/>
    <w:rsid w:val="2C7D0622"/>
    <w:rsid w:val="6D80283F"/>
    <w:rsid w:val="781473E3"/>
  </w:rsids>
  <m:mathPr>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qFormat/>
    <w:uiPriority w:val="0"/>
  </w:style>
  <w:style w:type="table" w:customStyle="1" w:styleId="5">
    <w:name w:val="普通表格1"/>
    <w:qFormat/>
    <w:uiPriority w:val="0"/>
  </w:style>
  <w:style w:type="paragraph" w:customStyle="1" w:styleId="6">
    <w:name w:val="题注1"/>
    <w:basedOn w:val="1"/>
    <w:qFormat/>
    <w:uiPriority w:val="0"/>
    <w:rPr>
      <w:rFonts w:ascii="Arial" w:hAnsi="Arial" w:eastAsia="黑体"/>
      <w:sz w:val="20"/>
      <w:szCs w:val="20"/>
    </w:rPr>
  </w:style>
  <w:style w:type="paragraph" w:customStyle="1" w:styleId="7">
    <w:name w:val="页脚1"/>
    <w:basedOn w:val="1"/>
    <w:link w:val="8"/>
    <w:uiPriority w:val="0"/>
    <w:pPr>
      <w:tabs>
        <w:tab w:val="center" w:pos="4153"/>
        <w:tab w:val="right" w:pos="8306"/>
      </w:tabs>
      <w:snapToGrid w:val="0"/>
      <w:jc w:val="left"/>
    </w:pPr>
    <w:rPr>
      <w:sz w:val="18"/>
      <w:szCs w:val="18"/>
    </w:rPr>
  </w:style>
  <w:style w:type="character" w:customStyle="1" w:styleId="8">
    <w:name w:val="页脚 字符"/>
    <w:link w:val="7"/>
    <w:qFormat/>
    <w:uiPriority w:val="0"/>
    <w:rPr>
      <w:rFonts w:ascii="Calibri" w:hAnsi="Calibri"/>
      <w:kern w:val="2"/>
      <w:sz w:val="18"/>
      <w:szCs w:val="18"/>
    </w:rPr>
  </w:style>
  <w:style w:type="paragraph" w:customStyle="1" w:styleId="9">
    <w:name w:val="页眉1"/>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link w:val="9"/>
    <w:qFormat/>
    <w:uiPriority w:val="0"/>
    <w:rPr>
      <w:rFonts w:ascii="Calibri" w:hAnsi="Calibri"/>
      <w:kern w:val="2"/>
      <w:sz w:val="18"/>
      <w:szCs w:val="18"/>
    </w:rPr>
  </w:style>
  <w:style w:type="paragraph" w:customStyle="1" w:styleId="11">
    <w:name w:val="普通(网站)1"/>
    <w:basedOn w:val="1"/>
    <w:uiPriority w:val="0"/>
    <w:pPr>
      <w:spacing w:before="100" w:beforeAutospacing="1" w:after="100" w:afterAutospacing="1"/>
      <w:ind w:left="0" w:right="0"/>
      <w:jc w:val="left"/>
    </w:pPr>
    <w:rPr>
      <w:kern w:val="0"/>
      <w:sz w:val="24"/>
      <w:lang w:val="en-US" w:eastAsia="zh-CN"/>
    </w:rPr>
  </w:style>
  <w:style w:type="table" w:customStyle="1" w:styleId="12">
    <w:name w:val="网格型1"/>
    <w:basedOn w:val="5"/>
    <w:qFormat/>
    <w:uiPriority w:val="0"/>
    <w:pPr>
      <w:widowControl w:val="0"/>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1931</Words>
  <Characters>2044</Characters>
  <Paragraphs>59</Paragraphs>
  <TotalTime>17</TotalTime>
  <ScaleCrop>false</ScaleCrop>
  <LinksUpToDate>false</LinksUpToDate>
  <CharactersWithSpaces>2045</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2026-02-13T14:34:00Z</dcterms:created>
  <dc:creator>WPS Office</dc:creator>
  <cp:lastModifiedBy>查旭</cp:lastModifiedBy>
  <dcterms:modified xsi:type="dcterms:W3CDTF">2026-02-14T07:05:16Z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75469902E2CA4838BF8C99467FB1BF62_13</vt:lpwstr>
  </property>
  <property fmtid="{D5CDD505-2E9C-101B-9397-08002B2CF9AE}" pid="3" name="KSOTemplateDocerSaveRecord">
    <vt:lpwstr>eyJoZGlkIjoiMjYxZDhjYjZkZmFkNWMyNTIzMjVkNTRhMTgwOTk4NDgiLCJ1c2VySWQiOiIzNjk2MzAyMzUifQ==</vt:lpwstr>
  </property>
  <property fmtid="{D5CDD505-2E9C-101B-9397-08002B2CF9AE}" pid="4" name="KSOProductBuildVer">
    <vt:lpwstr>2052-12.1.0.25186</vt:lpwstr>
  </property>
</Properties>
</file>