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1C050">
      <w:bookmarkStart w:id="0" w:name="OLE_LINK6" w:colFirst="0" w:colLast="1"/>
    </w:p>
    <w:p w14:paraId="46B5A08B"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评分办法</w:t>
      </w:r>
    </w:p>
    <w:tbl>
      <w:tblPr>
        <w:tblStyle w:val="11"/>
        <w:tblW w:w="10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9046"/>
      </w:tblGrid>
      <w:tr w14:paraId="1190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1847" w:type="dxa"/>
            <w:tcBorders>
              <w:tl2br w:val="nil"/>
              <w:tr2bl w:val="nil"/>
            </w:tcBorders>
            <w:vAlign w:val="bottom"/>
          </w:tcPr>
          <w:p w14:paraId="1B15EC41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 审 因 素</w:t>
            </w:r>
          </w:p>
        </w:tc>
        <w:tc>
          <w:tcPr>
            <w:tcW w:w="9046" w:type="dxa"/>
            <w:tcBorders>
              <w:tl2br w:val="nil"/>
              <w:tr2bl w:val="nil"/>
            </w:tcBorders>
            <w:vAlign w:val="bottom"/>
          </w:tcPr>
          <w:p w14:paraId="41F3C80C">
            <w:pPr>
              <w:jc w:val="center"/>
              <w:rPr>
                <w:rFonts w:hint="eastAsia"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 审 标 准</w:t>
            </w:r>
          </w:p>
        </w:tc>
      </w:tr>
      <w:bookmarkEnd w:id="0"/>
      <w:tr w14:paraId="3A58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tcBorders>
              <w:tl2br w:val="nil"/>
              <w:tr2bl w:val="nil"/>
            </w:tcBorders>
            <w:vAlign w:val="center"/>
          </w:tcPr>
          <w:p w14:paraId="56C11C2B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投标报价</w:t>
            </w:r>
          </w:p>
          <w:p w14:paraId="2B7CE1D6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（满分30分）</w:t>
            </w:r>
          </w:p>
        </w:tc>
        <w:tc>
          <w:tcPr>
            <w:tcW w:w="9046" w:type="dxa"/>
            <w:tcBorders>
              <w:tl2br w:val="nil"/>
              <w:tr2bl w:val="nil"/>
            </w:tcBorders>
            <w:vAlign w:val="center"/>
          </w:tcPr>
          <w:p w14:paraId="7AA7405B">
            <w:pPr>
              <w:widowControl/>
              <w:jc w:val="left"/>
              <w:textAlignment w:val="center"/>
              <w:rPr>
                <w:rFonts w:hint="default" w:ascii="楷体" w:hAnsi="楷体" w:eastAsia="仿宋" w:cs="楷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报价得分=（基准价/最后报价）×30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基准价：满足采购文件要求且投标报价最低的为评审基准价</w:t>
            </w:r>
          </w:p>
        </w:tc>
      </w:tr>
      <w:tr w14:paraId="6E71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tcBorders>
              <w:tl2br w:val="nil"/>
              <w:tr2bl w:val="nil"/>
            </w:tcBorders>
            <w:vAlign w:val="center"/>
          </w:tcPr>
          <w:p w14:paraId="66B786BC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服务需求评审</w:t>
            </w:r>
          </w:p>
          <w:p w14:paraId="6065B5E0">
            <w:pPr>
              <w:spacing w:line="4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22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分）</w:t>
            </w:r>
          </w:p>
        </w:tc>
        <w:tc>
          <w:tcPr>
            <w:tcW w:w="9046" w:type="dxa"/>
            <w:tcBorders>
              <w:tl2br w:val="nil"/>
              <w:tr2bl w:val="nil"/>
            </w:tcBorders>
            <w:vAlign w:val="center"/>
          </w:tcPr>
          <w:p w14:paraId="1A971BA8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项目技术参数要求中标注“*”条款为重要参数，共计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 xml:space="preserve">条，不满足一项扣2分，未标注“*”条款为一般参数，共计12条，不满足一项扣1分， 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分数扣完为止。技术和功能响应未描述或未提供相应支撑材料的，对应项不得分。</w:t>
            </w:r>
          </w:p>
        </w:tc>
      </w:tr>
      <w:tr w14:paraId="12A4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tcBorders>
              <w:tl2br w:val="nil"/>
              <w:tr2bl w:val="nil"/>
            </w:tcBorders>
            <w:vAlign w:val="center"/>
          </w:tcPr>
          <w:p w14:paraId="57FDCB36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业绩得分</w:t>
            </w:r>
          </w:p>
          <w:p w14:paraId="6920C20C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(满分2分)</w:t>
            </w:r>
          </w:p>
        </w:tc>
        <w:tc>
          <w:tcPr>
            <w:tcW w:w="9046" w:type="dxa"/>
            <w:tcBorders>
              <w:tl2br w:val="nil"/>
              <w:tr2bl w:val="nil"/>
            </w:tcBorders>
            <w:vAlign w:val="center"/>
          </w:tcPr>
          <w:p w14:paraId="30901B0E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根据供应商提供202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年1月1日至今(以合同签订时间为准)独立承担过类似项目业绩的，提供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个得基础分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0.5</w:t>
            </w:r>
            <w:r>
              <w:rPr>
                <w:rFonts w:hint="eastAsia" w:ascii="仿宋" w:hAnsi="仿宋" w:eastAsia="仿宋" w:cs="仿宋"/>
                <w:szCs w:val="21"/>
              </w:rPr>
              <w:t>分，每增加一个得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0.5</w:t>
            </w:r>
            <w:r>
              <w:rPr>
                <w:rFonts w:hint="eastAsia" w:ascii="仿宋" w:hAnsi="仿宋" w:eastAsia="仿宋" w:cs="仿宋"/>
                <w:szCs w:val="21"/>
              </w:rPr>
              <w:t>分，最高得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分。未提供业绩相关证明材料（合同、评价报告复印件等）的不得分。</w:t>
            </w:r>
          </w:p>
        </w:tc>
      </w:tr>
      <w:tr w14:paraId="4086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tcBorders>
              <w:tl2br w:val="nil"/>
              <w:tr2bl w:val="nil"/>
            </w:tcBorders>
            <w:vAlign w:val="center"/>
          </w:tcPr>
          <w:p w14:paraId="5F31E098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项目实施方案</w:t>
            </w:r>
          </w:p>
          <w:p w14:paraId="1BED5231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（满分10分）</w:t>
            </w:r>
          </w:p>
        </w:tc>
        <w:tc>
          <w:tcPr>
            <w:tcW w:w="9046" w:type="dxa"/>
            <w:tcBorders>
              <w:tl2br w:val="nil"/>
              <w:tr2bl w:val="nil"/>
            </w:tcBorders>
            <w:vAlign w:val="center"/>
          </w:tcPr>
          <w:p w14:paraId="7560B21A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第一个档次（7-10分）：供应商针对本项目制定的项目实施方案，内容详细、科学、合理，针对性强，具有较强的可操作性的；</w:t>
            </w:r>
          </w:p>
          <w:p w14:paraId="199D91D3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第二个档次（4-6分）：供应商针对本项目制定的项目实施方案，内容基本完整，有一定的针对性、可操作性的；</w:t>
            </w:r>
          </w:p>
          <w:p w14:paraId="4CF0013A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第三个档次（1-3分）：供应商针对本项目制定的项目实施方案，内容不完整，针对性差、无可操作性的；</w:t>
            </w:r>
          </w:p>
          <w:p w14:paraId="7A76F44B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第四个档次（0分）：未提供相关内容的。</w:t>
            </w:r>
          </w:p>
        </w:tc>
      </w:tr>
      <w:tr w14:paraId="64A45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tcBorders>
              <w:tl2br w:val="nil"/>
              <w:tr2bl w:val="nil"/>
            </w:tcBorders>
            <w:vAlign w:val="center"/>
          </w:tcPr>
          <w:p w14:paraId="4F2AD5AB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保密承诺及措施（满分10分）</w:t>
            </w:r>
          </w:p>
        </w:tc>
        <w:tc>
          <w:tcPr>
            <w:tcW w:w="9046" w:type="dxa"/>
            <w:tcBorders>
              <w:tl2br w:val="nil"/>
              <w:tr2bl w:val="nil"/>
            </w:tcBorders>
            <w:vAlign w:val="center"/>
          </w:tcPr>
          <w:p w14:paraId="67F8CDE8">
            <w:pPr>
              <w:pStyle w:val="8"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内容包括但不限于①用户信息保密措施 ②应急补救措施</w:t>
            </w:r>
          </w:p>
          <w:p w14:paraId="2C04855C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第一个档次（7-10分）：供应商针对本项目制定的项目实施方案，内容详细、科学、合理，针对性强，具有较强的可操作性的；</w:t>
            </w:r>
          </w:p>
          <w:p w14:paraId="447CE4E7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第二个档次（4-6分）：供应商针对本项目制定的项目实施方案，内容基本完整，有一定的针对性、可操作性的；</w:t>
            </w:r>
          </w:p>
          <w:p w14:paraId="06663A87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第三个档次（1-3分）：供应商针对本项目制定的项目实施方案，内容不完整，针对性差、无可操作性的；</w:t>
            </w:r>
          </w:p>
          <w:p w14:paraId="3953F32A">
            <w:pPr>
              <w:pStyle w:val="8"/>
              <w:spacing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第四个档次（0分）：未提供相关内容的。</w:t>
            </w:r>
          </w:p>
        </w:tc>
      </w:tr>
      <w:tr w14:paraId="7488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tcBorders>
              <w:tl2br w:val="nil"/>
              <w:tr2bl w:val="nil"/>
            </w:tcBorders>
            <w:vAlign w:val="center"/>
          </w:tcPr>
          <w:p w14:paraId="7632FD38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应急方案</w:t>
            </w:r>
          </w:p>
          <w:p w14:paraId="775A3B64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（满分5分）</w:t>
            </w:r>
          </w:p>
        </w:tc>
        <w:tc>
          <w:tcPr>
            <w:tcW w:w="9046" w:type="dxa"/>
            <w:tcBorders>
              <w:tl2br w:val="nil"/>
              <w:tr2bl w:val="nil"/>
            </w:tcBorders>
            <w:vAlign w:val="center"/>
          </w:tcPr>
          <w:p w14:paraId="6745AEF9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根据供应商提供的故障处理及应急响应方案（包括但不限于：①故障处理解决方案；②应急保障服务；③备份与恢复服务</w:t>
            </w:r>
          </w:p>
          <w:p w14:paraId="3C9204D6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第一个档次（4-5分）：供应商针对本项目制定的项目实施方案，内容详细、科学、合理，针对性强，具有较强的可操作性的；</w:t>
            </w:r>
          </w:p>
          <w:p w14:paraId="48D06427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第二个档次（2-3分）：供应商针对本项目制定的项目实施方案，内容基本完整，有一定的针对性、可操作性的；</w:t>
            </w:r>
          </w:p>
          <w:p w14:paraId="7D9F00E9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第三个档次（0-1分）：供应商针对本项目制定的项目实施方案，内容不完整，针对性差、无可操作性的；</w:t>
            </w:r>
          </w:p>
          <w:p w14:paraId="5BA56E60">
            <w:pPr>
              <w:pStyle w:val="2"/>
              <w:ind w:firstLine="21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第四个档次（0分）：未提供相关内容的。</w:t>
            </w:r>
          </w:p>
        </w:tc>
      </w:tr>
      <w:tr w14:paraId="29B6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tcBorders>
              <w:tl2br w:val="nil"/>
              <w:tr2bl w:val="nil"/>
            </w:tcBorders>
            <w:vAlign w:val="center"/>
          </w:tcPr>
          <w:p w14:paraId="753D9BCA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违约责任承诺</w:t>
            </w:r>
          </w:p>
          <w:p w14:paraId="24D27074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000000"/>
                <w:szCs w:val="21"/>
              </w:rPr>
              <w:t>分）</w:t>
            </w:r>
          </w:p>
        </w:tc>
        <w:tc>
          <w:tcPr>
            <w:tcW w:w="9046" w:type="dxa"/>
            <w:tcBorders>
              <w:tl2br w:val="nil"/>
              <w:tr2bl w:val="nil"/>
            </w:tcBorders>
            <w:vAlign w:val="center"/>
          </w:tcPr>
          <w:p w14:paraId="6E6D2C19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Cs w:val="21"/>
              </w:rPr>
              <w:t>分）：供应商针对本项目提出的违约责任承诺内容详细、科学、合理，针对性强，具有较强的可操作性的；</w:t>
            </w:r>
          </w:p>
          <w:p w14:paraId="1DE61494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第二个档次（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分）：供应商针对本项目提出的违约责任承诺内容基本完整，有一定的针对性、可操作性的；</w:t>
            </w:r>
          </w:p>
          <w:p w14:paraId="6EF795F0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第三个档次（1-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分）：供应商针对本项目提出的违约责任承诺内容不完整，针对性差、无可操作性的；</w:t>
            </w:r>
          </w:p>
          <w:p w14:paraId="7194FA5E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第四个档次（0分）：未提供相关内容的。</w:t>
            </w:r>
          </w:p>
        </w:tc>
      </w:tr>
      <w:tr w14:paraId="321A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tcBorders>
              <w:tl2br w:val="nil"/>
              <w:tr2bl w:val="nil"/>
            </w:tcBorders>
            <w:vAlign w:val="center"/>
          </w:tcPr>
          <w:p w14:paraId="76C33311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技术服务团队</w:t>
            </w:r>
            <w:bookmarkStart w:id="1" w:name="_GoBack"/>
            <w:bookmarkEnd w:id="1"/>
          </w:p>
          <w:p w14:paraId="498DD279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（满分5分）</w:t>
            </w:r>
          </w:p>
        </w:tc>
        <w:tc>
          <w:tcPr>
            <w:tcW w:w="9046" w:type="dxa"/>
            <w:tcBorders>
              <w:tl2br w:val="nil"/>
              <w:tr2bl w:val="nil"/>
            </w:tcBorders>
            <w:vAlign w:val="center"/>
          </w:tcPr>
          <w:p w14:paraId="3EEF03D5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第一个档次（4-5分）：有完善的服务体系、管理体系，技术服务团队人员能及时响应并解决故障、技术力量及人员组成优；</w:t>
            </w:r>
          </w:p>
          <w:p w14:paraId="6F8F6BAC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第二个档次（2-3分）：有规范的服务体系、管理体系，现场服务技术力量及人员组成良好；</w:t>
            </w:r>
          </w:p>
          <w:p w14:paraId="28D0CB7F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第三个档次（0-1分）：服务体系、管理体系规范性一般，现场服务技术力量及人员组成一般。</w:t>
            </w:r>
          </w:p>
        </w:tc>
      </w:tr>
      <w:tr w14:paraId="0F22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tcBorders>
              <w:tl2br w:val="nil"/>
              <w:tr2bl w:val="nil"/>
            </w:tcBorders>
            <w:vAlign w:val="center"/>
          </w:tcPr>
          <w:p w14:paraId="33086BE3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质量承诺及保障措施</w:t>
            </w:r>
          </w:p>
          <w:p w14:paraId="01BE4890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</w:rPr>
              <w:t>（满分8分）</w:t>
            </w:r>
          </w:p>
        </w:tc>
        <w:tc>
          <w:tcPr>
            <w:tcW w:w="9046" w:type="dxa"/>
            <w:tcBorders>
              <w:tl2br w:val="nil"/>
              <w:tr2bl w:val="nil"/>
            </w:tcBorders>
            <w:vAlign w:val="center"/>
          </w:tcPr>
          <w:p w14:paraId="79B56255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第一个档次(5-8分)：质量承诺内容完整规范、科学合理、内容详细，保障措施切实可行，针对性强，完全满足采购人实际需求；</w:t>
            </w:r>
          </w:p>
          <w:p w14:paraId="5D90F246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第二个档次(3-4分)：质量承诺内容完整、合理，保障措施基本可行，基本满足采购人实际需求；</w:t>
            </w:r>
          </w:p>
          <w:p w14:paraId="51CB5D56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第三个档次(1-2分)：质量承诺内容基本合理，保障措施不具可行性、针对性；</w:t>
            </w:r>
          </w:p>
          <w:p w14:paraId="681F9926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第四个档次(0分)：质量承诺不具针对性及可行性或无保障措施。备注：未提供质量承诺及保证措施的不得分。</w:t>
            </w:r>
          </w:p>
        </w:tc>
      </w:tr>
    </w:tbl>
    <w:p w14:paraId="594B6281"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513A0"/>
    <w:rsid w:val="00280204"/>
    <w:rsid w:val="003D0B2A"/>
    <w:rsid w:val="00466BF5"/>
    <w:rsid w:val="004B1B7A"/>
    <w:rsid w:val="007B1305"/>
    <w:rsid w:val="007B4209"/>
    <w:rsid w:val="00884923"/>
    <w:rsid w:val="00914B2F"/>
    <w:rsid w:val="00BB164F"/>
    <w:rsid w:val="00BD5040"/>
    <w:rsid w:val="00C6187E"/>
    <w:rsid w:val="00D56F05"/>
    <w:rsid w:val="00F301BC"/>
    <w:rsid w:val="00FE1C54"/>
    <w:rsid w:val="05D15877"/>
    <w:rsid w:val="08840AD3"/>
    <w:rsid w:val="0D5513A0"/>
    <w:rsid w:val="102E3DB9"/>
    <w:rsid w:val="12B35B70"/>
    <w:rsid w:val="196C4365"/>
    <w:rsid w:val="1E5E441A"/>
    <w:rsid w:val="23DC390D"/>
    <w:rsid w:val="25961EB9"/>
    <w:rsid w:val="2A6B0AB2"/>
    <w:rsid w:val="2B284290"/>
    <w:rsid w:val="39F47C5D"/>
    <w:rsid w:val="3C942B7F"/>
    <w:rsid w:val="3DA301A8"/>
    <w:rsid w:val="3FE903F1"/>
    <w:rsid w:val="45C54BB8"/>
    <w:rsid w:val="4AE836C7"/>
    <w:rsid w:val="4BDA10C2"/>
    <w:rsid w:val="4E157897"/>
    <w:rsid w:val="53766806"/>
    <w:rsid w:val="59FB3706"/>
    <w:rsid w:val="65C55DD6"/>
    <w:rsid w:val="689964E9"/>
    <w:rsid w:val="70EA7DC1"/>
    <w:rsid w:val="71444B3B"/>
    <w:rsid w:val="737E3665"/>
    <w:rsid w:val="7A687F0C"/>
    <w:rsid w:val="7B823B01"/>
    <w:rsid w:val="7E0155BF"/>
    <w:rsid w:val="7E63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5"/>
    <w:next w:val="6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">
    <w:name w:val="正文1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2"/>
    <w:basedOn w:val="1"/>
    <w:next w:val="1"/>
    <w:qFormat/>
    <w:uiPriority w:val="0"/>
    <w:pPr>
      <w:spacing w:line="360" w:lineRule="auto"/>
    </w:pPr>
    <w:rPr>
      <w:rFonts w:ascii="Times New Roman" w:hAnsi="Times New Roman" w:eastAsia="仿宋_GB2312"/>
      <w:sz w:val="28"/>
      <w:szCs w:val="28"/>
    </w:rPr>
  </w:style>
  <w:style w:type="paragraph" w:styleId="7">
    <w:name w:val="Normal Indent"/>
    <w:basedOn w:val="1"/>
    <w:qFormat/>
    <w:uiPriority w:val="0"/>
    <w:pPr>
      <w:spacing w:line="360" w:lineRule="auto"/>
      <w:ind w:firstLine="420"/>
    </w:pPr>
    <w:rPr>
      <w:rFonts w:ascii="Times New Roman" w:hAnsi="Times New Roman" w:eastAsia="宋体" w:cs="Times New Roman"/>
      <w:sz w:val="24"/>
      <w:szCs w:val="20"/>
    </w:rPr>
  </w:style>
  <w:style w:type="paragraph" w:styleId="8">
    <w:name w:val="Plain Text"/>
    <w:basedOn w:val="1"/>
    <w:link w:val="15"/>
    <w:qFormat/>
    <w:uiPriority w:val="0"/>
    <w:rPr>
      <w:rFonts w:ascii="宋体"/>
      <w:szCs w:val="20"/>
    </w:rPr>
  </w:style>
  <w:style w:type="paragraph" w:styleId="9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字符"/>
    <w:basedOn w:val="12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2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纯文本 字符3"/>
    <w:link w:val="8"/>
    <w:qFormat/>
    <w:uiPriority w:val="0"/>
    <w:rPr>
      <w:rFonts w:ascii="宋体" w:hAnsiTheme="minorHAnsi" w:eastAsiaTheme="minorEastAsia" w:cstheme="minorBidi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1428</Words>
  <Characters>1483</Characters>
  <Lines>10</Lines>
  <Paragraphs>2</Paragraphs>
  <TotalTime>26</TotalTime>
  <ScaleCrop>false</ScaleCrop>
  <LinksUpToDate>false</LinksUpToDate>
  <CharactersWithSpaces>1491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2025-06-16T03:40:00Z</dcterms:created>
  <dc:creator>Administrator</dc:creator>
  <cp:lastModifiedBy>吴怡</cp:lastModifiedBy>
  <dcterms:modified xsi:type="dcterms:W3CDTF">2026-03-24T07:03:48Z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46310E86A9804DEDAACD356EE0DEB140</vt:lpwstr>
  </property>
  <property fmtid="{D5CDD505-2E9C-101B-9397-08002B2CF9AE}" pid="4" name="KSOTemplateDocerSaveRecord">
    <vt:lpwstr>eyJoZGlkIjoiMWY3MjliM2ZjZjFkYzVmNDQwYzA5ZTZmZGNhMmYwZDgiLCJ1c2VySWQiOiIxNzcxNzk1NjcxIn0=</vt:lpwstr>
  </property>
</Properties>
</file>