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2F967">
      <w:pPr>
        <w:pStyle w:val="2"/>
        <w:outlineLvl w:val="0"/>
        <w:rPr>
          <w:rFonts w:ascii="方正楷体_GBK" w:hAnsi="方正楷体_GBK" w:eastAsia="方正楷体_GBK" w:cs="方正楷体_GBK"/>
          <w:sz w:val="28"/>
          <w:szCs w:val="22"/>
        </w:rPr>
      </w:pPr>
      <w:bookmarkStart w:id="0" w:name="_Toc32426"/>
      <w:bookmarkStart w:id="1" w:name="_Toc32495"/>
      <w:r>
        <w:rPr>
          <w:rFonts w:hint="eastAsia" w:ascii="方正楷体_GBK" w:hAnsi="方正楷体_GBK" w:eastAsia="方正楷体_GBK" w:cs="方正楷体_GBK"/>
          <w:sz w:val="28"/>
          <w:szCs w:val="22"/>
        </w:rPr>
        <w:t xml:space="preserve">  </w:t>
      </w:r>
      <w:r>
        <w:rPr>
          <w:rFonts w:hint="eastAsia" w:ascii="方正楷体_GBK" w:hAnsi="方正楷体_GBK" w:eastAsia="方正楷体_GBK" w:cs="方正楷体_GBK"/>
          <w:sz w:val="28"/>
          <w:szCs w:val="22"/>
          <w:lang w:eastAsia="zh-CN"/>
        </w:rPr>
        <w:t>评审</w:t>
      </w:r>
      <w:r>
        <w:rPr>
          <w:rFonts w:ascii="方正楷体_GBK" w:hAnsi="方正楷体_GBK" w:eastAsia="方正楷体_GBK" w:cs="方正楷体_GBK"/>
          <w:sz w:val="28"/>
          <w:szCs w:val="22"/>
        </w:rPr>
        <w:t>方法（综合评分法）</w:t>
      </w:r>
      <w:bookmarkEnd w:id="0"/>
      <w:bookmarkEnd w:id="1"/>
    </w:p>
    <w:tbl>
      <w:tblPr>
        <w:tblStyle w:val="8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3"/>
        <w:gridCol w:w="1593"/>
        <w:gridCol w:w="2682"/>
        <w:gridCol w:w="3906"/>
      </w:tblGrid>
      <w:tr w14:paraId="591C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 w14:paraId="6D4D5EA0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 w14:paraId="749AB5C1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 w14:paraId="42DD0CD0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 w14:paraId="026E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restart"/>
            <w:vAlign w:val="center"/>
          </w:tcPr>
          <w:p w14:paraId="371DD3B7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3.1</w:t>
            </w:r>
          </w:p>
        </w:tc>
        <w:tc>
          <w:tcPr>
            <w:tcW w:w="1013" w:type="dxa"/>
            <w:vMerge w:val="restart"/>
            <w:vAlign w:val="center"/>
          </w:tcPr>
          <w:p w14:paraId="6FB47C2C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符合性评审标准</w:t>
            </w:r>
          </w:p>
        </w:tc>
        <w:tc>
          <w:tcPr>
            <w:tcW w:w="8181" w:type="dxa"/>
            <w:gridSpan w:val="3"/>
            <w:vAlign w:val="center"/>
          </w:tcPr>
          <w:p w14:paraId="2AD6B17B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存在下列情况之一的，</w:t>
            </w:r>
            <w:r>
              <w:rPr>
                <w:rFonts w:hint="eastAsia" w:ascii="华文楷体" w:hAnsi="华文楷体" w:eastAsia="华文楷体" w:cs="华文楷体"/>
                <w:b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无效：</w:t>
            </w:r>
          </w:p>
        </w:tc>
      </w:tr>
      <w:tr w14:paraId="3CD1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51" w:type="dxa"/>
            <w:vMerge w:val="continue"/>
            <w:vAlign w:val="center"/>
          </w:tcPr>
          <w:p w14:paraId="78F2AEEA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5E7718D1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54927097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签署、盖章</w:t>
            </w:r>
          </w:p>
        </w:tc>
        <w:tc>
          <w:tcPr>
            <w:tcW w:w="3906" w:type="dxa"/>
            <w:vAlign w:val="center"/>
          </w:tcPr>
          <w:p w14:paraId="446777E3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 w14:paraId="5710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120B5508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11F88FC4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3C985844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法定代表人身份证明书及法定代表人授权委托书</w:t>
            </w:r>
          </w:p>
        </w:tc>
        <w:tc>
          <w:tcPr>
            <w:tcW w:w="3906" w:type="dxa"/>
            <w:vAlign w:val="center"/>
          </w:tcPr>
          <w:p w14:paraId="68E68A63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文件未按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文件要求签署、盖章的；</w:t>
            </w:r>
          </w:p>
        </w:tc>
      </w:tr>
      <w:tr w14:paraId="6111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4C3247CF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5DCF2893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446CDB70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</w:tc>
        <w:tc>
          <w:tcPr>
            <w:tcW w:w="3906" w:type="dxa"/>
            <w:vAlign w:val="center"/>
          </w:tcPr>
          <w:p w14:paraId="3EAD27AC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报价超过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文件中规定的最高限价的；</w:t>
            </w:r>
          </w:p>
        </w:tc>
      </w:tr>
      <w:tr w14:paraId="5FB2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6CE4D8C4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71957A1F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06DCE8F5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不能接受的附加条件</w:t>
            </w:r>
          </w:p>
        </w:tc>
        <w:tc>
          <w:tcPr>
            <w:tcW w:w="3906" w:type="dxa"/>
            <w:vAlign w:val="center"/>
          </w:tcPr>
          <w:p w14:paraId="2892F0FE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文件含有采购人不能接受的附加条件的;</w:t>
            </w:r>
          </w:p>
        </w:tc>
      </w:tr>
      <w:tr w14:paraId="4F2F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30631822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58E2649A">
            <w:pPr>
              <w:spacing w:before="100" w:beforeAutospacing="1" w:after="100" w:afterAutospacing="1" w:line="16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77E6D1D2">
            <w:pPr>
              <w:spacing w:before="100" w:beforeAutospacing="1" w:after="100" w:afterAutospacing="1" w:line="16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其他无效情形</w:t>
            </w:r>
          </w:p>
        </w:tc>
        <w:tc>
          <w:tcPr>
            <w:tcW w:w="3906" w:type="dxa"/>
            <w:vAlign w:val="center"/>
          </w:tcPr>
          <w:p w14:paraId="7AC06840">
            <w:pPr>
              <w:spacing w:before="100" w:beforeAutospacing="1" w:after="100" w:afterAutospacing="1" w:line="160" w:lineRule="atLeast"/>
              <w:jc w:val="lef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法律、法规和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采购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文件规定的其他无效情形。</w:t>
            </w:r>
          </w:p>
        </w:tc>
      </w:tr>
      <w:tr w14:paraId="4310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851" w:type="dxa"/>
            <w:vAlign w:val="center"/>
          </w:tcPr>
          <w:p w14:paraId="3263133D"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条款号</w:t>
            </w:r>
          </w:p>
        </w:tc>
        <w:tc>
          <w:tcPr>
            <w:tcW w:w="1013" w:type="dxa"/>
            <w:vAlign w:val="center"/>
          </w:tcPr>
          <w:p w14:paraId="5F3EF02A"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评审程序</w:t>
            </w:r>
          </w:p>
        </w:tc>
        <w:tc>
          <w:tcPr>
            <w:tcW w:w="8181" w:type="dxa"/>
            <w:gridSpan w:val="3"/>
            <w:vAlign w:val="center"/>
          </w:tcPr>
          <w:p w14:paraId="4EB42E8B">
            <w:pPr>
              <w:spacing w:before="100" w:beforeAutospacing="1" w:after="100" w:afterAutospacing="1" w:line="240" w:lineRule="atLeast"/>
              <w:jc w:val="center"/>
              <w:rPr>
                <w:rFonts w:ascii="华文楷体" w:hAnsi="华文楷体" w:eastAsia="华文楷体" w:cs="华文楷体"/>
                <w:b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szCs w:val="21"/>
              </w:rPr>
              <w:t>评 审 内 容 及 标 准</w:t>
            </w:r>
          </w:p>
        </w:tc>
      </w:tr>
      <w:tr w14:paraId="6682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51" w:type="dxa"/>
            <w:vMerge w:val="restart"/>
            <w:vAlign w:val="center"/>
          </w:tcPr>
          <w:p w14:paraId="2271A4AF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3.2</w:t>
            </w:r>
          </w:p>
        </w:tc>
        <w:tc>
          <w:tcPr>
            <w:tcW w:w="1013" w:type="dxa"/>
            <w:vMerge w:val="restart"/>
            <w:vAlign w:val="center"/>
          </w:tcPr>
          <w:p w14:paraId="5B573FC7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vAlign w:val="center"/>
          </w:tcPr>
          <w:p w14:paraId="0D668E5C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1、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总得分计算公式</w:t>
            </w:r>
          </w:p>
        </w:tc>
        <w:tc>
          <w:tcPr>
            <w:tcW w:w="6588" w:type="dxa"/>
            <w:gridSpan w:val="2"/>
            <w:vAlign w:val="center"/>
          </w:tcPr>
          <w:p w14:paraId="24F4F136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响应人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的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总得分＝F1＋F2＋F3</w:t>
            </w:r>
          </w:p>
          <w:p w14:paraId="6B3AFBD6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其中：①F1、F2、F3分别为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报价、技术部分、商务部分3项评分因素的汇总得分；</w:t>
            </w:r>
          </w:p>
        </w:tc>
      </w:tr>
      <w:tr w14:paraId="2F5D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6F6755B3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51A59247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71F0E48D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2、评分因素</w:t>
            </w:r>
          </w:p>
          <w:p w14:paraId="01C9138E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分值及权重</w:t>
            </w:r>
          </w:p>
        </w:tc>
        <w:tc>
          <w:tcPr>
            <w:tcW w:w="6588" w:type="dxa"/>
            <w:gridSpan w:val="2"/>
            <w:vAlign w:val="center"/>
          </w:tcPr>
          <w:p w14:paraId="6DB60329"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报价F1：满分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分。技术部分F2：满分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 w14:paraId="126EC039">
            <w:pPr>
              <w:spacing w:line="240" w:lineRule="atLeast"/>
              <w:ind w:left="1258" w:hanging="1258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商务部分F3：满分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0分。</w:t>
            </w:r>
          </w:p>
        </w:tc>
      </w:tr>
      <w:tr w14:paraId="3BF8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continue"/>
            <w:vAlign w:val="center"/>
          </w:tcPr>
          <w:p w14:paraId="3873EFFB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4AA0F816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 w14:paraId="308044CE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3、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报价</w:t>
            </w:r>
          </w:p>
          <w:p w14:paraId="2B763242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评审F1</w:t>
            </w:r>
          </w:p>
          <w:p w14:paraId="4FD8B9E9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tcBorders>
              <w:bottom w:val="single" w:color="auto" w:sz="4" w:space="0"/>
            </w:tcBorders>
            <w:vAlign w:val="center"/>
          </w:tcPr>
          <w:p w14:paraId="1AC93A66"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报价计算公式= </w:t>
            </w:r>
            <w:r>
              <w:rPr>
                <w:rFonts w:hint="eastAsia" w:ascii="华文楷体" w:hAnsi="华文楷体" w:eastAsia="华文楷体" w:cs="华文楷体"/>
                <w:position w:val="-26"/>
                <w:szCs w:val="21"/>
              </w:rPr>
              <w:object>
                <v:shape id="_x0000_i1025" o:spt="75" type="#_x0000_t75" style="height:36pt;width:77.6pt;" o:ole="t" filled="f" o:preferrelative="t" stroked="f" coordsize="21600,21600">
                  <v:path/>
                  <v:fill on="f" focussize="0,0"/>
                  <v:stroke on="f" joinstyle="miter"/>
                  <v:imagedata r:id="rId5" o:title="341228446826312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华文楷体" w:hAnsi="华文楷体" w:eastAsia="华文楷体" w:cs="华文楷体"/>
                <w:szCs w:val="21"/>
              </w:rPr>
              <w:t>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 w14:paraId="012E483F">
            <w:pPr>
              <w:adjustRightInd w:val="0"/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即：F1=[C/（B1，B2，…，Bn）]×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</w:t>
            </w:r>
          </w:p>
          <w:p w14:paraId="1E997D7C">
            <w:pPr>
              <w:adjustRightInd w:val="0"/>
              <w:spacing w:line="240" w:lineRule="atLeas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注：C为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评审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基准价，即经初步审查合格且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响应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价格最低的有效报价；B1，B2，…，Bn为第n个经初步审查合格的报价</w:t>
            </w:r>
            <w:r>
              <w:rPr>
                <w:rFonts w:hint="eastAsia" w:ascii="华文楷体" w:hAnsi="华文楷体" w:eastAsia="华文楷体" w:cs="华文楷体"/>
                <w:szCs w:val="21"/>
                <w:vertAlign w:val="baseline"/>
                <w:lang w:val="en-US" w:eastAsia="zh-CN"/>
              </w:rPr>
              <w:t>。采购文件中未说明且品规型号多的，评审专家组依据价格、使用量、临床应用情况指定代表品及其权重，代表品数量可以为一种或多种。</w:t>
            </w:r>
          </w:p>
        </w:tc>
      </w:tr>
      <w:tr w14:paraId="0574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Merge w:val="restart"/>
            <w:vAlign w:val="center"/>
          </w:tcPr>
          <w:p w14:paraId="6DA1AA6F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3.3</w:t>
            </w:r>
          </w:p>
        </w:tc>
        <w:tc>
          <w:tcPr>
            <w:tcW w:w="1013" w:type="dxa"/>
            <w:vMerge w:val="restart"/>
            <w:vAlign w:val="center"/>
          </w:tcPr>
          <w:p w14:paraId="5FA4B73D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详细评审标准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6DFC1CB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4、技术部分</w:t>
            </w:r>
          </w:p>
          <w:p w14:paraId="27510D4C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评审F2</w:t>
            </w:r>
          </w:p>
          <w:p w14:paraId="5DB68E84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455E21BA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样品评审(满分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 w14:paraId="7F498536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样品规格提供齐全、外观完好、质量优越、材质精良、设计精致、标识完整，得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12-17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 w14:paraId="62762FA2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样品规格提供基本齐全、外观普通、质量材质粗糙、样品外观无明显瑕疵或变形、设计正常，得 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6-11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分；</w:t>
            </w:r>
          </w:p>
          <w:p w14:paraId="3C891FA3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外观粗糙、设计粗劣，材质粗糙、样品外观存在瑕疵或变形，得 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 xml:space="preserve"> 分。</w:t>
            </w:r>
          </w:p>
          <w:p w14:paraId="794CD314">
            <w:pPr>
              <w:numPr>
                <w:ilvl w:val="0"/>
                <w:numId w:val="0"/>
              </w:num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2.参数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评审(满分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33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分)</w:t>
            </w:r>
          </w:p>
          <w:p w14:paraId="0B83FC53"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每类器械中，重要参数一条1分，其余每类</w:t>
            </w:r>
            <w:bookmarkStart w:id="10" w:name="_GoBack"/>
            <w:bookmarkEnd w:id="10"/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一般参数共占0.5分</w:t>
            </w:r>
          </w:p>
          <w:p w14:paraId="2D9CFB2E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若无法比较样品，由评审小组综合评定打分。</w:t>
            </w:r>
          </w:p>
        </w:tc>
      </w:tr>
      <w:tr w14:paraId="6E42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51" w:type="dxa"/>
            <w:vMerge w:val="continue"/>
            <w:vAlign w:val="center"/>
          </w:tcPr>
          <w:p w14:paraId="45E9BC61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013" w:type="dxa"/>
            <w:vMerge w:val="continue"/>
            <w:vAlign w:val="center"/>
          </w:tcPr>
          <w:p w14:paraId="06889E42">
            <w:pPr>
              <w:spacing w:line="240" w:lineRule="atLeast"/>
              <w:rPr>
                <w:rFonts w:ascii="华文楷体" w:hAnsi="华文楷体" w:eastAsia="华文楷体" w:cs="华文楷体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5ABC8F2C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5、商务部分</w:t>
            </w:r>
          </w:p>
          <w:p w14:paraId="67497FD3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评审F3</w:t>
            </w:r>
          </w:p>
          <w:p w14:paraId="114F63E8">
            <w:pPr>
              <w:spacing w:line="240" w:lineRule="atLeast"/>
              <w:jc w:val="center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（满分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0分）</w:t>
            </w:r>
          </w:p>
        </w:tc>
        <w:tc>
          <w:tcPr>
            <w:tcW w:w="6588" w:type="dxa"/>
            <w:gridSpan w:val="2"/>
            <w:vAlign w:val="center"/>
          </w:tcPr>
          <w:p w14:paraId="277FD23E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1.耗材供应保障情况评分（满分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分）</w:t>
            </w:r>
          </w:p>
          <w:p w14:paraId="1613D21B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耗材供应保障能力较强，供货响应迅速，响应人对采购人配合度较高，响应人有充足的备货量，有完善的备货预警机制，有可行的紧急调货预案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4-5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 w14:paraId="2F816B41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耗材供应保障能力一般，供货及时，响应人对采购人配合度一般，有一定数量的备货；有备货预警机制，但该机制不完善；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有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紧急调货预案，但该预案可行性不足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2-3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；</w:t>
            </w:r>
          </w:p>
          <w:p w14:paraId="72C0FFC7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耗材供应保障能力较弱，不能满足采购人需求，响应人对采购人配合度较低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得0-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分。</w:t>
            </w:r>
          </w:p>
          <w:p w14:paraId="6DA5541F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2.售后服务（满分5分）</w:t>
            </w:r>
          </w:p>
          <w:p w14:paraId="2EB12AA2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提供完善的售后服务方案，至少包括性能验证、投诉处理、不良事件处理、售后服务流程、响应/处理时间、负责人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姓名身份证号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及电话、质量监管及处罚等。方案合理、操作性强，且切实可行。</w:t>
            </w:r>
          </w:p>
          <w:p w14:paraId="1141F04C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第一档次：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售后服务方案全面、合理可行，方案安排科学合理、可操作性强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得4-5分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 w14:paraId="688D35FE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第二档次：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售后服务方案可行，方案安排可行，有一定的针对性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得2-3分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；</w:t>
            </w:r>
          </w:p>
          <w:p w14:paraId="0634B082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第三档次：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售后服务方案有明显瑕疵，方案安排有瑕疵</w:t>
            </w: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，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得0-1分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。</w:t>
            </w:r>
          </w:p>
          <w:p w14:paraId="1AF0701F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3.类似产品销售业绩（满分5分）</w:t>
            </w:r>
          </w:p>
          <w:p w14:paraId="13C6077A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Cs w:val="21"/>
              </w:rPr>
              <w:t>近三年（20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21</w:t>
            </w:r>
            <w:r>
              <w:rPr>
                <w:rFonts w:hint="eastAsia" w:ascii="华文楷体" w:hAnsi="华文楷体" w:eastAsia="华文楷体" w:cs="华文楷体"/>
                <w:szCs w:val="21"/>
              </w:rPr>
              <w:t>年至今）类似产品销售业绩（供货凭证、中标通知、合同等）注：业绩的有效时间以证明文件的时间为准，提供一项得1分，增加一项，加1分，加满为止。</w:t>
            </w:r>
          </w:p>
          <w:p w14:paraId="1EED18A3">
            <w:pPr>
              <w:snapToGrid w:val="0"/>
              <w:spacing w:line="240" w:lineRule="atLeast"/>
              <w:jc w:val="left"/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.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厂家授权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情况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</w:rPr>
              <w:t>（满分5分）</w:t>
            </w:r>
          </w:p>
          <w:p w14:paraId="08B7E177">
            <w:pPr>
              <w:snapToGrid w:val="0"/>
              <w:spacing w:line="240" w:lineRule="atLeast"/>
              <w:jc w:val="left"/>
              <w:rPr>
                <w:rFonts w:hint="default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Cs w:val="21"/>
                <w:lang w:eastAsia="zh-CN"/>
              </w:rPr>
              <w:t>厂家直供，得</w:t>
            </w:r>
            <w:r>
              <w:rPr>
                <w:rFonts w:hint="eastAsia" w:ascii="华文楷体" w:hAnsi="华文楷体" w:eastAsia="华文楷体" w:cs="华文楷体"/>
                <w:szCs w:val="21"/>
                <w:lang w:val="en-US" w:eastAsia="zh-CN"/>
              </w:rPr>
              <w:t>5分；一级授权，得4分；二级授权，得3分；三级及其他授权，得1分；无授权，得0分。</w:t>
            </w:r>
          </w:p>
        </w:tc>
      </w:tr>
    </w:tbl>
    <w:p w14:paraId="2D7042FB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2" w:name="_Toc16028"/>
      <w:bookmarkStart w:id="3" w:name="_Toc16081"/>
      <w:r>
        <w:rPr>
          <w:rFonts w:hint="eastAsia" w:ascii="华文楷体" w:hAnsi="华文楷体" w:eastAsia="华文楷体" w:cs="华文楷体"/>
          <w:sz w:val="24"/>
        </w:rPr>
        <w:t>一、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hint="eastAsia" w:ascii="华文楷体" w:hAnsi="华文楷体" w:eastAsia="华文楷体" w:cs="华文楷体"/>
          <w:sz w:val="24"/>
        </w:rPr>
        <w:t>方法</w:t>
      </w:r>
      <w:bookmarkEnd w:id="2"/>
      <w:bookmarkEnd w:id="3"/>
    </w:p>
    <w:p w14:paraId="31335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华文楷体" w:hAnsi="华文楷体" w:eastAsia="华文楷体" w:cs="华文楷体"/>
          <w:b w:val="0"/>
          <w:bCs w:val="0"/>
          <w:sz w:val="24"/>
        </w:rPr>
      </w:pP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b w:val="0"/>
          <w:bCs w:val="0"/>
          <w:sz w:val="24"/>
        </w:rPr>
        <w:t>对满足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文件全部实质性要求（即通过资格性评审及符合性评审）的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b w:val="0"/>
          <w:bCs w:val="0"/>
          <w:sz w:val="24"/>
        </w:rPr>
        <w:t>文件，按照本章前附表规定的评分标准进行打分，并按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总得分计算公式计算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b w:val="0"/>
          <w:bCs w:val="0"/>
          <w:sz w:val="24"/>
        </w:rPr>
        <w:t>总得分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</w:t>
      </w:r>
    </w:p>
    <w:p w14:paraId="5DCE5E03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4" w:name="_Toc28122"/>
      <w:bookmarkStart w:id="5" w:name="_Toc14948"/>
      <w:r>
        <w:rPr>
          <w:rFonts w:hint="eastAsia" w:ascii="华文楷体" w:hAnsi="华文楷体" w:eastAsia="华文楷体" w:cs="华文楷体"/>
          <w:sz w:val="24"/>
        </w:rPr>
        <w:t>二、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程序及标准</w:t>
      </w:r>
      <w:bookmarkEnd w:id="4"/>
      <w:bookmarkEnd w:id="5"/>
    </w:p>
    <w:p w14:paraId="0A762CC4"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1符合性评审</w:t>
      </w:r>
    </w:p>
    <w:p w14:paraId="1A2C665C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依据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文件的规定，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对符合资格的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文件从有效性、完整性和对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文件的实质性响应程度等方面进行审查，见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 w14:paraId="7CC6EC5C">
      <w:pPr>
        <w:spacing w:line="360" w:lineRule="auto"/>
        <w:outlineLvl w:val="2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2详细评审</w:t>
      </w:r>
    </w:p>
    <w:p w14:paraId="6A062FF6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按照</w:t>
      </w:r>
      <w:r>
        <w:rPr>
          <w:rFonts w:hint="eastAsia" w:ascii="华文楷体" w:hAnsi="华文楷体" w:eastAsia="华文楷体" w:cs="华文楷体"/>
          <w:sz w:val="24"/>
          <w:lang w:eastAsia="zh-CN"/>
        </w:rPr>
        <w:t>采购</w:t>
      </w:r>
      <w:r>
        <w:rPr>
          <w:rFonts w:ascii="华文楷体" w:hAnsi="华文楷体" w:eastAsia="华文楷体" w:cs="华文楷体"/>
          <w:sz w:val="24"/>
        </w:rPr>
        <w:t>文件中规定的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方法和标准，对符合性审查合格的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文件进行商务和技术评估，综合比较与评价, 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方法前附表。</w:t>
      </w:r>
    </w:p>
    <w:p w14:paraId="384A0EA4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2.2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各成员要依法独立评审，并对评审意见承担个人责任。对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的客观评分项的评分应当一致，对其他需要借助专业知识评判的主观评分项，应当严格按照评分细则公正评分。</w:t>
      </w:r>
    </w:p>
    <w:p w14:paraId="123339F0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成员对需要共同认定的事项存在争议的，按照少数服从多数的原则做出结论。持不同意见的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成员应当在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报告上签署不同意见并说明理由，否则视为同意。</w:t>
      </w:r>
    </w:p>
    <w:p w14:paraId="436870BB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2.4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文件报价出现前后不一致的，按照下列规定修正：</w:t>
      </w:r>
    </w:p>
    <w:p w14:paraId="00C6E2C7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2.4.1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文件中开标一览表（报价表）内容与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文件中相应内容不一致的，以开标一览表（报价表）为准；</w:t>
      </w:r>
    </w:p>
    <w:p w14:paraId="09415F64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2.4.2</w:t>
      </w:r>
      <w:r>
        <w:rPr>
          <w:rFonts w:ascii="华文楷体" w:hAnsi="华文楷体" w:eastAsia="华文楷体" w:cs="华文楷体"/>
          <w:sz w:val="24"/>
        </w:rPr>
        <w:t>大写金额和小写金额不一致的，以大写金额为准；</w:t>
      </w:r>
    </w:p>
    <w:p w14:paraId="072A0210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2.4.3</w:t>
      </w:r>
      <w:r>
        <w:rPr>
          <w:rFonts w:ascii="华文楷体" w:hAnsi="华文楷体" w:eastAsia="华文楷体" w:cs="华文楷体"/>
          <w:sz w:val="24"/>
        </w:rPr>
        <w:t>单价金额小数点或者百分比有明显错位的，以开标一览表的总价为准，并修改单价；</w:t>
      </w:r>
    </w:p>
    <w:p w14:paraId="02A33110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  <w:lang w:val="en-US" w:eastAsia="zh-CN"/>
        </w:rPr>
        <w:t>2.4.4</w:t>
      </w:r>
      <w:r>
        <w:rPr>
          <w:rFonts w:ascii="华文楷体" w:hAnsi="华文楷体" w:eastAsia="华文楷体" w:cs="华文楷体"/>
          <w:sz w:val="24"/>
        </w:rPr>
        <w:t>总价金额与按单价汇总金额不一致的，以单价金额计算结果为准。</w:t>
      </w:r>
      <w:r>
        <w:rPr>
          <w:rFonts w:ascii="华文楷体" w:hAnsi="华文楷体" w:eastAsia="华文楷体" w:cs="华文楷体"/>
          <w:b/>
          <w:bCs/>
          <w:sz w:val="24"/>
        </w:rPr>
        <w:t>所有计算结果均保留小数点后两位</w:t>
      </w:r>
      <w:r>
        <w:rPr>
          <w:rFonts w:ascii="华文楷体" w:hAnsi="华文楷体" w:eastAsia="华文楷体" w:cs="华文楷体"/>
          <w:sz w:val="24"/>
        </w:rPr>
        <w:t>，小数点后第三位“四舍五入”。</w:t>
      </w:r>
    </w:p>
    <w:p w14:paraId="6D20455A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★2.</w:t>
      </w:r>
      <w:r>
        <w:rPr>
          <w:rFonts w:hint="eastAsia" w:ascii="华文楷体" w:hAnsi="华文楷体" w:eastAsia="华文楷体" w:cs="华文楷体"/>
          <w:sz w:val="24"/>
        </w:rPr>
        <w:t>5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认为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的报价明显低于其他通过符合性审查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的报价，有可能影响产品质量或者不能诚信履约的，应当要求其在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现场合理的时间内提供书面说明，必要时提交相关证明材料；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不能证明其报价合理性的，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应当将其作为无效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处理。</w:t>
      </w:r>
    </w:p>
    <w:p w14:paraId="71C08FDE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6" w:name="_Toc25186"/>
      <w:bookmarkStart w:id="7" w:name="_Toc1631"/>
      <w:r>
        <w:rPr>
          <w:rFonts w:hint="eastAsia" w:ascii="华文楷体" w:hAnsi="华文楷体" w:eastAsia="华文楷体" w:cs="华文楷体"/>
          <w:sz w:val="24"/>
        </w:rPr>
        <w:t>三、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文件的澄清</w:t>
      </w:r>
      <w:bookmarkEnd w:id="6"/>
      <w:bookmarkEnd w:id="7"/>
    </w:p>
    <w:p w14:paraId="79CC0836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1在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过程中，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可以书面形式要求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对所提交的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文件中含义不明确、同类问题表述不一致或者有明显文字和计算错误的内容，进行书面澄清或说明。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不接受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主动提出的澄清、说明。</w:t>
      </w:r>
    </w:p>
    <w:p w14:paraId="5761F937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2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的澄清、说明应当采用书面形式，由法定代表人或其授权的代表签字，澄清事项不得超出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文件的范围并不得改变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文件的实质性内容（算术性错误修正的除外）。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的书面澄清、说明属于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</w:t>
      </w:r>
      <w:r>
        <w:rPr>
          <w:rFonts w:ascii="华文楷体" w:hAnsi="华文楷体" w:eastAsia="华文楷体" w:cs="华文楷体"/>
          <w:sz w:val="24"/>
        </w:rPr>
        <w:t>文件的组成部分。</w:t>
      </w:r>
    </w:p>
    <w:p w14:paraId="646A4032">
      <w:pPr>
        <w:spacing w:line="360" w:lineRule="auto"/>
        <w:rPr>
          <w:rFonts w:ascii="华文楷体" w:hAnsi="华文楷体" w:eastAsia="华文楷体" w:cs="华文楷体"/>
          <w:sz w:val="24"/>
        </w:rPr>
      </w:pPr>
      <w:r>
        <w:rPr>
          <w:rFonts w:ascii="华文楷体" w:hAnsi="华文楷体" w:eastAsia="华文楷体" w:cs="华文楷体"/>
          <w:sz w:val="24"/>
        </w:rPr>
        <w:t>3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ascii="华文楷体" w:hAnsi="华文楷体" w:eastAsia="华文楷体" w:cs="华文楷体"/>
          <w:sz w:val="24"/>
        </w:rPr>
        <w:t>对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提交的澄清、说明有疑问的，可以要求</w:t>
      </w:r>
      <w:r>
        <w:rPr>
          <w:rFonts w:hint="eastAsia" w:ascii="华文楷体" w:hAnsi="华文楷体" w:eastAsia="华文楷体" w:cs="华文楷体"/>
          <w:sz w:val="24"/>
          <w:lang w:eastAsia="zh-CN"/>
        </w:rPr>
        <w:t>响应人</w:t>
      </w:r>
      <w:r>
        <w:rPr>
          <w:rFonts w:ascii="华文楷体" w:hAnsi="华文楷体" w:eastAsia="华文楷体" w:cs="华文楷体"/>
          <w:sz w:val="24"/>
        </w:rPr>
        <w:t>进一步澄清、说明。</w:t>
      </w:r>
    </w:p>
    <w:p w14:paraId="24AE4D1C">
      <w:pPr>
        <w:pStyle w:val="3"/>
        <w:outlineLvl w:val="1"/>
        <w:rPr>
          <w:rFonts w:ascii="华文楷体" w:hAnsi="华文楷体" w:eastAsia="华文楷体" w:cs="华文楷体"/>
          <w:sz w:val="24"/>
        </w:rPr>
      </w:pPr>
      <w:bookmarkStart w:id="8" w:name="_Toc14055"/>
      <w:bookmarkStart w:id="9" w:name="_Toc28117"/>
      <w:r>
        <w:rPr>
          <w:rFonts w:hint="eastAsia" w:ascii="华文楷体" w:hAnsi="华文楷体" w:eastAsia="华文楷体" w:cs="华文楷体"/>
          <w:sz w:val="24"/>
        </w:rPr>
        <w:t>四、</w:t>
      </w:r>
      <w:r>
        <w:rPr>
          <w:rFonts w:hint="eastAsia" w:ascii="华文楷体" w:hAnsi="华文楷体" w:eastAsia="华文楷体" w:cs="华文楷体"/>
          <w:sz w:val="24"/>
          <w:lang w:eastAsia="zh-CN"/>
        </w:rPr>
        <w:t>评审</w:t>
      </w:r>
      <w:r>
        <w:rPr>
          <w:rFonts w:ascii="华文楷体" w:hAnsi="华文楷体" w:eastAsia="华文楷体" w:cs="华文楷体"/>
          <w:sz w:val="24"/>
        </w:rPr>
        <w:t>结果</w:t>
      </w:r>
      <w:bookmarkEnd w:id="8"/>
      <w:bookmarkEnd w:id="9"/>
    </w:p>
    <w:p w14:paraId="70FED1A0">
      <w:pPr>
        <w:spacing w:line="360" w:lineRule="auto"/>
        <w:rPr>
          <w:rFonts w:hint="eastAsia" w:ascii="华文楷体" w:hAnsi="华文楷体" w:eastAsia="华文楷体" w:cs="华文楷体"/>
          <w:sz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lang w:eastAsia="zh-CN"/>
        </w:rPr>
        <w:t>评审小组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逐一评审，按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总得分由高到低的顺序推荐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中标候选人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。得分相同的，按响应报价由低到高顺序排序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，</w:t>
      </w:r>
      <w:r>
        <w:rPr>
          <w:rFonts w:hint="eastAsia" w:ascii="华文楷体" w:hAnsi="华文楷体" w:eastAsia="华文楷体" w:cs="华文楷体"/>
          <w:b w:val="0"/>
          <w:bCs w:val="0"/>
          <w:sz w:val="24"/>
        </w:rPr>
        <w:t>得分且响应报价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val="en-US" w:eastAsia="zh-CN"/>
        </w:rPr>
        <w:t>相同的按技术部分得分排序，如再相同由评审小组讨论决定排序</w:t>
      </w:r>
      <w:r>
        <w:rPr>
          <w:rFonts w:hint="eastAsia" w:ascii="华文楷体" w:hAnsi="华文楷体" w:eastAsia="华文楷体" w:cs="华文楷体"/>
          <w:b w:val="0"/>
          <w:bCs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5D3C217-2461-49AA-9D6F-4C705BB83C5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AEE15B9-E1E8-4A3C-8C68-4397E114DC4D}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Y4Y2YxYzU2NDgzYmI5Y2E2Y2E3MjU2YjU2ZDEifQ=="/>
  </w:docVars>
  <w:rsids>
    <w:rsidRoot w:val="68ED23A1"/>
    <w:rsid w:val="00183996"/>
    <w:rsid w:val="004D72FC"/>
    <w:rsid w:val="006C5A58"/>
    <w:rsid w:val="00EA7AED"/>
    <w:rsid w:val="01696297"/>
    <w:rsid w:val="018C6DB8"/>
    <w:rsid w:val="03AC1080"/>
    <w:rsid w:val="047D014D"/>
    <w:rsid w:val="05063A65"/>
    <w:rsid w:val="057515BA"/>
    <w:rsid w:val="05CB2422"/>
    <w:rsid w:val="06226BEE"/>
    <w:rsid w:val="0661309E"/>
    <w:rsid w:val="068F4112"/>
    <w:rsid w:val="089B5884"/>
    <w:rsid w:val="09042ECC"/>
    <w:rsid w:val="09075307"/>
    <w:rsid w:val="0932531A"/>
    <w:rsid w:val="09CE2DA4"/>
    <w:rsid w:val="09DA0AFB"/>
    <w:rsid w:val="0AB954AA"/>
    <w:rsid w:val="0ADA598E"/>
    <w:rsid w:val="0C1338DB"/>
    <w:rsid w:val="0C612D6C"/>
    <w:rsid w:val="0D734E63"/>
    <w:rsid w:val="0E643415"/>
    <w:rsid w:val="0E855FC4"/>
    <w:rsid w:val="0EC67DB4"/>
    <w:rsid w:val="0EF40828"/>
    <w:rsid w:val="0F9D4B12"/>
    <w:rsid w:val="0F9E7AAB"/>
    <w:rsid w:val="0FA5199F"/>
    <w:rsid w:val="11B11D83"/>
    <w:rsid w:val="12BE1D47"/>
    <w:rsid w:val="12D83014"/>
    <w:rsid w:val="13697223"/>
    <w:rsid w:val="13AC2993"/>
    <w:rsid w:val="13DE46BF"/>
    <w:rsid w:val="14365D9D"/>
    <w:rsid w:val="144F2FB5"/>
    <w:rsid w:val="145372F0"/>
    <w:rsid w:val="15521AAE"/>
    <w:rsid w:val="15EA738E"/>
    <w:rsid w:val="16401C78"/>
    <w:rsid w:val="16591E84"/>
    <w:rsid w:val="16C16D5E"/>
    <w:rsid w:val="174E378A"/>
    <w:rsid w:val="17621B1C"/>
    <w:rsid w:val="17990AC3"/>
    <w:rsid w:val="185B4CFD"/>
    <w:rsid w:val="19C0586F"/>
    <w:rsid w:val="19D74CFB"/>
    <w:rsid w:val="1ABE0B46"/>
    <w:rsid w:val="1AEB4C02"/>
    <w:rsid w:val="1AEE6F4C"/>
    <w:rsid w:val="1C89648F"/>
    <w:rsid w:val="1CC81301"/>
    <w:rsid w:val="1CD12633"/>
    <w:rsid w:val="1DAC0F64"/>
    <w:rsid w:val="1DB41365"/>
    <w:rsid w:val="1E7F64EB"/>
    <w:rsid w:val="1ED25815"/>
    <w:rsid w:val="1F0C1276"/>
    <w:rsid w:val="1F45015A"/>
    <w:rsid w:val="20107B43"/>
    <w:rsid w:val="203C0637"/>
    <w:rsid w:val="20DB3EAF"/>
    <w:rsid w:val="2159170D"/>
    <w:rsid w:val="21640853"/>
    <w:rsid w:val="221B7BEB"/>
    <w:rsid w:val="2252000B"/>
    <w:rsid w:val="23E11C32"/>
    <w:rsid w:val="23E5533A"/>
    <w:rsid w:val="24073473"/>
    <w:rsid w:val="24A24397"/>
    <w:rsid w:val="24F06C89"/>
    <w:rsid w:val="25ED45CC"/>
    <w:rsid w:val="270E7C35"/>
    <w:rsid w:val="27181100"/>
    <w:rsid w:val="280963E2"/>
    <w:rsid w:val="284B6511"/>
    <w:rsid w:val="295A7282"/>
    <w:rsid w:val="29DB6845"/>
    <w:rsid w:val="2A1F4715"/>
    <w:rsid w:val="2A4B1276"/>
    <w:rsid w:val="2A601E62"/>
    <w:rsid w:val="2ADE7ED4"/>
    <w:rsid w:val="2AE714EE"/>
    <w:rsid w:val="2AF20BB1"/>
    <w:rsid w:val="2B02159F"/>
    <w:rsid w:val="2C0B4C88"/>
    <w:rsid w:val="2C57499B"/>
    <w:rsid w:val="2D742E08"/>
    <w:rsid w:val="2DA07759"/>
    <w:rsid w:val="2DDC1283"/>
    <w:rsid w:val="2E335F99"/>
    <w:rsid w:val="2F234AE5"/>
    <w:rsid w:val="2F7A4730"/>
    <w:rsid w:val="30110DE2"/>
    <w:rsid w:val="30F02BCA"/>
    <w:rsid w:val="31261223"/>
    <w:rsid w:val="315E1496"/>
    <w:rsid w:val="31871B4D"/>
    <w:rsid w:val="31AF140A"/>
    <w:rsid w:val="31D06B2D"/>
    <w:rsid w:val="31ED5FEB"/>
    <w:rsid w:val="32110677"/>
    <w:rsid w:val="32291EC6"/>
    <w:rsid w:val="323B3CAF"/>
    <w:rsid w:val="3257620E"/>
    <w:rsid w:val="32691E1B"/>
    <w:rsid w:val="327B0B4B"/>
    <w:rsid w:val="32DF0A54"/>
    <w:rsid w:val="338225B9"/>
    <w:rsid w:val="344528F5"/>
    <w:rsid w:val="35191A11"/>
    <w:rsid w:val="35211D9B"/>
    <w:rsid w:val="35CF32D1"/>
    <w:rsid w:val="36126D84"/>
    <w:rsid w:val="3622238F"/>
    <w:rsid w:val="369260B7"/>
    <w:rsid w:val="369938DF"/>
    <w:rsid w:val="371500A9"/>
    <w:rsid w:val="381F418F"/>
    <w:rsid w:val="38E72CA7"/>
    <w:rsid w:val="39DE67D4"/>
    <w:rsid w:val="3A994B5D"/>
    <w:rsid w:val="3B1251B1"/>
    <w:rsid w:val="3B1F7166"/>
    <w:rsid w:val="3B7B3872"/>
    <w:rsid w:val="3C2E63D0"/>
    <w:rsid w:val="3C577B69"/>
    <w:rsid w:val="3C8E29D2"/>
    <w:rsid w:val="3C9A663B"/>
    <w:rsid w:val="3D5974B2"/>
    <w:rsid w:val="3E461AAC"/>
    <w:rsid w:val="3EB23D9E"/>
    <w:rsid w:val="3EFD2017"/>
    <w:rsid w:val="3F9335C1"/>
    <w:rsid w:val="41125031"/>
    <w:rsid w:val="41634E9A"/>
    <w:rsid w:val="41AD2574"/>
    <w:rsid w:val="41F64EA7"/>
    <w:rsid w:val="4290203A"/>
    <w:rsid w:val="429C4E23"/>
    <w:rsid w:val="42B66655"/>
    <w:rsid w:val="43807971"/>
    <w:rsid w:val="44B925B3"/>
    <w:rsid w:val="44BE0132"/>
    <w:rsid w:val="44EB30FF"/>
    <w:rsid w:val="451352A6"/>
    <w:rsid w:val="457041C4"/>
    <w:rsid w:val="45E62C4F"/>
    <w:rsid w:val="45E95171"/>
    <w:rsid w:val="461B60BF"/>
    <w:rsid w:val="46423675"/>
    <w:rsid w:val="46713F31"/>
    <w:rsid w:val="47220EF6"/>
    <w:rsid w:val="4852651A"/>
    <w:rsid w:val="491606A8"/>
    <w:rsid w:val="492B27BE"/>
    <w:rsid w:val="49522850"/>
    <w:rsid w:val="4BA47EEA"/>
    <w:rsid w:val="4BBB0C9C"/>
    <w:rsid w:val="4C475CD3"/>
    <w:rsid w:val="4C745061"/>
    <w:rsid w:val="4CAA019C"/>
    <w:rsid w:val="4E056412"/>
    <w:rsid w:val="4E6D1482"/>
    <w:rsid w:val="4E7628FD"/>
    <w:rsid w:val="4F211887"/>
    <w:rsid w:val="4F8D18F2"/>
    <w:rsid w:val="4FEF2F8E"/>
    <w:rsid w:val="500B3C3D"/>
    <w:rsid w:val="502D1488"/>
    <w:rsid w:val="50AD62CB"/>
    <w:rsid w:val="52330126"/>
    <w:rsid w:val="528D7BAD"/>
    <w:rsid w:val="52E552F2"/>
    <w:rsid w:val="53563EF3"/>
    <w:rsid w:val="53A771E4"/>
    <w:rsid w:val="53FD5056"/>
    <w:rsid w:val="54564534"/>
    <w:rsid w:val="54686973"/>
    <w:rsid w:val="54E62EC5"/>
    <w:rsid w:val="5509232A"/>
    <w:rsid w:val="55900EFA"/>
    <w:rsid w:val="56A42CC7"/>
    <w:rsid w:val="579348A0"/>
    <w:rsid w:val="58641B21"/>
    <w:rsid w:val="589241B7"/>
    <w:rsid w:val="59861A37"/>
    <w:rsid w:val="59DE232E"/>
    <w:rsid w:val="5AB407E7"/>
    <w:rsid w:val="5AEC3313"/>
    <w:rsid w:val="5B0C6EC7"/>
    <w:rsid w:val="5B702433"/>
    <w:rsid w:val="5BCF61C0"/>
    <w:rsid w:val="5D2D6307"/>
    <w:rsid w:val="5D45372C"/>
    <w:rsid w:val="5D956ADA"/>
    <w:rsid w:val="5DEF5207"/>
    <w:rsid w:val="5DFA58AF"/>
    <w:rsid w:val="5E286656"/>
    <w:rsid w:val="5E797935"/>
    <w:rsid w:val="5EAE3D6B"/>
    <w:rsid w:val="5F2A6567"/>
    <w:rsid w:val="5F833E6F"/>
    <w:rsid w:val="5FAE3A14"/>
    <w:rsid w:val="600A22E9"/>
    <w:rsid w:val="60F361B3"/>
    <w:rsid w:val="61DD16C6"/>
    <w:rsid w:val="62BC5BC6"/>
    <w:rsid w:val="62EB00F7"/>
    <w:rsid w:val="632E6AB0"/>
    <w:rsid w:val="63464119"/>
    <w:rsid w:val="6379145E"/>
    <w:rsid w:val="64EA46E6"/>
    <w:rsid w:val="65C62CCC"/>
    <w:rsid w:val="65DE429C"/>
    <w:rsid w:val="65F37423"/>
    <w:rsid w:val="660C7F1F"/>
    <w:rsid w:val="67710F5B"/>
    <w:rsid w:val="67D53C16"/>
    <w:rsid w:val="681761A6"/>
    <w:rsid w:val="688370C4"/>
    <w:rsid w:val="68C71A5D"/>
    <w:rsid w:val="68ED23A1"/>
    <w:rsid w:val="698B7E77"/>
    <w:rsid w:val="69A513E9"/>
    <w:rsid w:val="6B1E145A"/>
    <w:rsid w:val="6B4E599E"/>
    <w:rsid w:val="6C6C62C2"/>
    <w:rsid w:val="6C7203A3"/>
    <w:rsid w:val="6CDC45D7"/>
    <w:rsid w:val="6CE81170"/>
    <w:rsid w:val="6CEF4F0F"/>
    <w:rsid w:val="6D773236"/>
    <w:rsid w:val="6D9504A1"/>
    <w:rsid w:val="6FD47300"/>
    <w:rsid w:val="7006779F"/>
    <w:rsid w:val="70684C2B"/>
    <w:rsid w:val="709629D8"/>
    <w:rsid w:val="70AA7461"/>
    <w:rsid w:val="70F62E47"/>
    <w:rsid w:val="711E068D"/>
    <w:rsid w:val="717C3606"/>
    <w:rsid w:val="71D359E0"/>
    <w:rsid w:val="72862412"/>
    <w:rsid w:val="72B76BC3"/>
    <w:rsid w:val="72EE22E1"/>
    <w:rsid w:val="7334527D"/>
    <w:rsid w:val="73487C44"/>
    <w:rsid w:val="73A537A6"/>
    <w:rsid w:val="74165DE6"/>
    <w:rsid w:val="74172592"/>
    <w:rsid w:val="74181AC7"/>
    <w:rsid w:val="7491561A"/>
    <w:rsid w:val="754B3E84"/>
    <w:rsid w:val="757A60AE"/>
    <w:rsid w:val="761A0506"/>
    <w:rsid w:val="778E76C8"/>
    <w:rsid w:val="77DA4BE2"/>
    <w:rsid w:val="78C66E6E"/>
    <w:rsid w:val="78E42BC9"/>
    <w:rsid w:val="79100D42"/>
    <w:rsid w:val="79FD69F6"/>
    <w:rsid w:val="7B484AEB"/>
    <w:rsid w:val="7C4D1419"/>
    <w:rsid w:val="7D3F20B7"/>
    <w:rsid w:val="7D6A4C5A"/>
    <w:rsid w:val="7D7C3020"/>
    <w:rsid w:val="7EFE5E90"/>
    <w:rsid w:val="7F1255AA"/>
    <w:rsid w:val="7F9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2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2310</Words>
  <Characters>2407</Characters>
  <Lines>70</Lines>
  <Paragraphs>19</Paragraphs>
  <TotalTime>1</TotalTime>
  <ScaleCrop>false</ScaleCrop>
  <LinksUpToDate>false</LinksUpToDate>
  <CharactersWithSpaces>2429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123</dc:creator>
  <cp:lastModifiedBy>黄钰雯</cp:lastModifiedBy>
  <cp:lastPrinted>2024-08-28T07:19:00Z</cp:lastPrinted>
  <dcterms:modified xsi:type="dcterms:W3CDTF">2026-01-28T10:06:36Z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1B69E3945E10427684646D490CABEF56</vt:lpwstr>
  </property>
  <property fmtid="{D5CDD505-2E9C-101B-9397-08002B2CF9AE}" pid="4" name="KSOTemplateDocerSaveRecord">
    <vt:lpwstr>eyJoZGlkIjoiNDJiZjUyYTc3YWRkZDE2YWZmNWI4ZTZkMDIyZDRjMjAiLCJ1c2VySWQiOiIxNzczMTc4ODI5In0=</vt:lpwstr>
  </property>
</Properties>
</file>