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C2344">
      <w:pPr>
        <w:jc w:val="center"/>
        <w:rPr>
          <w:rFonts w:hint="eastAsia" w:ascii="楷体" w:hAnsi="楷体" w:eastAsia="楷体" w:cs="楷体"/>
          <w:b/>
          <w:bCs/>
          <w:sz w:val="28"/>
          <w:szCs w:val="28"/>
        </w:rPr>
      </w:pPr>
      <w:r>
        <w:rPr>
          <w:rFonts w:hint="eastAsia" w:ascii="楷体" w:hAnsi="楷体" w:eastAsia="楷体" w:cs="楷体"/>
          <w:b/>
          <w:bCs/>
          <w:sz w:val="28"/>
          <w:szCs w:val="28"/>
        </w:rPr>
        <w:t>资格评审标准</w:t>
      </w:r>
    </w:p>
    <w:p w14:paraId="67C06833">
      <w:pPr>
        <w:pStyle w:val="8"/>
        <w:tabs>
          <w:tab w:val="left" w:pos="2472"/>
        </w:tabs>
        <w:spacing w:line="320" w:lineRule="exact"/>
        <w:ind w:firstLine="420" w:firstLineChars="200"/>
        <w:rPr>
          <w:rFonts w:hint="eastAsia" w:ascii="仿宋" w:hAnsi="仿宋" w:eastAsia="仿宋" w:cs="仿宋"/>
          <w:szCs w:val="21"/>
        </w:rPr>
      </w:pPr>
      <w:r>
        <w:rPr>
          <w:rFonts w:hint="eastAsia" w:ascii="仿宋" w:hAnsi="仿宋" w:eastAsia="仿宋" w:cs="仿宋"/>
          <w:szCs w:val="21"/>
        </w:rPr>
        <w:t>投标文件出现不满足下列各项评审内容及标准要求之一的，则资格评审为不合格。</w:t>
      </w:r>
      <w:r>
        <w:rPr>
          <w:rFonts w:hint="eastAsia" w:ascii="仿宋" w:hAnsi="仿宋" w:eastAsia="仿宋" w:cs="仿宋"/>
          <w:szCs w:val="21"/>
          <w:lang w:val="en-US" w:eastAsia="zh-CN"/>
        </w:rPr>
        <w:t>谈判</w:t>
      </w:r>
      <w:r>
        <w:rPr>
          <w:rFonts w:hint="eastAsia" w:ascii="仿宋" w:hAnsi="仿宋" w:eastAsia="仿宋" w:cs="仿宋"/>
          <w:szCs w:val="21"/>
        </w:rPr>
        <w:t>第一轮每个标段实质性响应人不足三家则按流标处理，谈判第二轮每个项目实质性响应人满足一家或以上，</w:t>
      </w:r>
      <w:r>
        <w:rPr>
          <w:rFonts w:hint="eastAsia" w:ascii="仿宋" w:hAnsi="仿宋" w:eastAsia="仿宋" w:cs="仿宋"/>
          <w:szCs w:val="21"/>
          <w:lang w:val="en-US" w:eastAsia="zh-CN"/>
        </w:rPr>
        <w:t>可进行谈判。</w:t>
      </w:r>
      <w:r>
        <w:rPr>
          <w:rFonts w:hint="eastAsia" w:ascii="仿宋" w:hAnsi="仿宋" w:eastAsia="仿宋" w:cs="仿宋"/>
          <w:szCs w:val="21"/>
        </w:rPr>
        <w:t>下列各项评审内容及标准均为招标文件的实质性要求。</w:t>
      </w:r>
    </w:p>
    <w:tbl>
      <w:tblPr>
        <w:tblStyle w:val="9"/>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356"/>
      </w:tblGrid>
      <w:tr w14:paraId="05AF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jc w:val="center"/>
        </w:trPr>
        <w:tc>
          <w:tcPr>
            <w:tcW w:w="10065" w:type="dxa"/>
            <w:gridSpan w:val="2"/>
            <w:noWrap w:val="0"/>
            <w:vAlign w:val="center"/>
          </w:tcPr>
          <w:p w14:paraId="5B444D15">
            <w:pPr>
              <w:spacing w:before="100" w:beforeAutospacing="1" w:after="100" w:afterAutospacing="1" w:line="240" w:lineRule="exact"/>
              <w:jc w:val="center"/>
              <w:rPr>
                <w:rFonts w:hint="eastAsia" w:ascii="仿宋" w:hAnsi="仿宋" w:eastAsia="仿宋" w:cs="仿宋"/>
                <w:b/>
                <w:szCs w:val="21"/>
              </w:rPr>
            </w:pPr>
            <w:r>
              <w:rPr>
                <w:rFonts w:hint="eastAsia" w:ascii="仿宋" w:hAnsi="仿宋" w:eastAsia="仿宋" w:cs="仿宋"/>
                <w:b/>
                <w:szCs w:val="21"/>
              </w:rPr>
              <w:t>评 审 内 容 及 标 准</w:t>
            </w:r>
          </w:p>
        </w:tc>
      </w:tr>
      <w:tr w14:paraId="1F46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09" w:type="dxa"/>
            <w:noWrap w:val="0"/>
            <w:vAlign w:val="center"/>
          </w:tcPr>
          <w:p w14:paraId="5E18BF9B">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1</w:t>
            </w:r>
          </w:p>
        </w:tc>
        <w:tc>
          <w:tcPr>
            <w:tcW w:w="9356" w:type="dxa"/>
            <w:noWrap w:val="0"/>
            <w:vAlign w:val="center"/>
          </w:tcPr>
          <w:p w14:paraId="58DB64F5">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投标人应具备《中华人民共和国政府采购法》第二十二条规定的条件，并提供下列材料：</w:t>
            </w:r>
          </w:p>
        </w:tc>
      </w:tr>
      <w:tr w14:paraId="0BCF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noWrap w:val="0"/>
            <w:vAlign w:val="center"/>
          </w:tcPr>
          <w:p w14:paraId="23559382">
            <w:pPr>
              <w:spacing w:before="100" w:beforeAutospacing="1" w:after="100" w:afterAutospacing="1" w:line="260" w:lineRule="exact"/>
              <w:jc w:val="center"/>
              <w:rPr>
                <w:rFonts w:hint="eastAsia" w:ascii="仿宋" w:hAnsi="仿宋" w:eastAsia="仿宋" w:cs="仿宋"/>
                <w:szCs w:val="21"/>
              </w:rPr>
            </w:pPr>
            <w:bookmarkStart w:id="0" w:name="OLE_LINK1" w:colFirst="1" w:colLast="1"/>
            <w:r>
              <w:rPr>
                <w:rFonts w:hint="eastAsia" w:ascii="仿宋" w:hAnsi="仿宋" w:eastAsia="仿宋" w:cs="仿宋"/>
                <w:szCs w:val="21"/>
              </w:rPr>
              <w:t>1.1</w:t>
            </w:r>
          </w:p>
        </w:tc>
        <w:tc>
          <w:tcPr>
            <w:tcW w:w="9356" w:type="dxa"/>
            <w:noWrap w:val="0"/>
            <w:vAlign w:val="center"/>
          </w:tcPr>
          <w:p w14:paraId="75F384F4">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投标人必须具备独立承担民事责任的能力的证明材料（扫描件加盖电子公章）</w:t>
            </w:r>
          </w:p>
        </w:tc>
      </w:tr>
      <w:tr w14:paraId="553DE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175E276B">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1.2</w:t>
            </w:r>
          </w:p>
        </w:tc>
        <w:tc>
          <w:tcPr>
            <w:tcW w:w="9356" w:type="dxa"/>
            <w:noWrap w:val="0"/>
            <w:vAlign w:val="center"/>
          </w:tcPr>
          <w:p w14:paraId="106B0E5E">
            <w:pPr>
              <w:spacing w:line="260" w:lineRule="exact"/>
              <w:jc w:val="left"/>
              <w:rPr>
                <w:rFonts w:hint="eastAsia" w:ascii="仿宋" w:hAnsi="仿宋" w:eastAsia="仿宋" w:cs="仿宋"/>
                <w:szCs w:val="21"/>
              </w:rPr>
            </w:pPr>
            <w:bookmarkStart w:id="1" w:name="OLE_LINK2"/>
            <w:r>
              <w:rPr>
                <w:rFonts w:hint="eastAsia" w:ascii="仿宋" w:hAnsi="仿宋" w:eastAsia="仿宋" w:cs="仿宋"/>
                <w:szCs w:val="21"/>
              </w:rPr>
              <w:t>投标人须提供财务状况报告，可提供以下1）、2）、3）三者之一；若投标人成立时间短，不足以出具经审计的财务审计报告的投标人，则提供以下2）、3）二者之一。</w:t>
            </w:r>
          </w:p>
          <w:p w14:paraId="42B050A6">
            <w:pPr>
              <w:spacing w:line="260" w:lineRule="exact"/>
              <w:jc w:val="left"/>
              <w:rPr>
                <w:rFonts w:hint="eastAsia" w:ascii="仿宋" w:hAnsi="仿宋" w:eastAsia="仿宋" w:cs="仿宋"/>
                <w:szCs w:val="21"/>
              </w:rPr>
            </w:pPr>
            <w:r>
              <w:rPr>
                <w:rFonts w:hint="eastAsia" w:ascii="仿宋" w:hAnsi="仿宋" w:eastAsia="仿宋" w:cs="仿宋"/>
                <w:szCs w:val="21"/>
              </w:rPr>
              <w:t>1）202</w:t>
            </w:r>
            <w:r>
              <w:rPr>
                <w:rFonts w:hint="eastAsia" w:ascii="仿宋" w:hAnsi="仿宋" w:eastAsia="仿宋" w:cs="仿宋"/>
                <w:szCs w:val="21"/>
                <w:lang w:val="en-US" w:eastAsia="zh-CN"/>
              </w:rPr>
              <w:t>3</w:t>
            </w:r>
            <w:r>
              <w:rPr>
                <w:rFonts w:hint="eastAsia" w:ascii="仿宋" w:hAnsi="仿宋" w:eastAsia="仿宋" w:cs="仿宋"/>
                <w:szCs w:val="21"/>
              </w:rPr>
              <w:t>年-202</w:t>
            </w:r>
            <w:r>
              <w:rPr>
                <w:rFonts w:hint="eastAsia" w:ascii="仿宋" w:hAnsi="仿宋" w:eastAsia="仿宋" w:cs="仿宋"/>
                <w:szCs w:val="21"/>
                <w:lang w:val="en-US" w:eastAsia="zh-CN"/>
              </w:rPr>
              <w:t>5</w:t>
            </w:r>
            <w:r>
              <w:rPr>
                <w:rFonts w:hint="eastAsia" w:ascii="仿宋" w:hAnsi="仿宋" w:eastAsia="仿宋" w:cs="仿宋"/>
                <w:szCs w:val="21"/>
              </w:rPr>
              <w:t>年任意一年度经审计的财务审计报告，包括财务审计报告及“四表一注”，“四表一注”即资产负债表、利润表、现金流量表、所有者权益变动表及其附注（扫描件加盖电子公章）；</w:t>
            </w:r>
          </w:p>
          <w:p w14:paraId="543F9E3C">
            <w:pPr>
              <w:spacing w:line="260" w:lineRule="exact"/>
              <w:jc w:val="left"/>
              <w:rPr>
                <w:rFonts w:hint="eastAsia" w:ascii="仿宋" w:hAnsi="仿宋" w:eastAsia="仿宋" w:cs="仿宋"/>
                <w:szCs w:val="21"/>
              </w:rPr>
            </w:pPr>
            <w:r>
              <w:rPr>
                <w:rFonts w:hint="eastAsia" w:ascii="仿宋" w:hAnsi="仿宋" w:eastAsia="仿宋" w:cs="仿宋"/>
                <w:szCs w:val="21"/>
              </w:rPr>
              <w:t>2）自投标文件提交截止时间前三个月内基本开户银行出具的资信证明（扫描件加盖电子公章）</w:t>
            </w:r>
          </w:p>
          <w:p w14:paraId="288DA0CB">
            <w:pPr>
              <w:spacing w:line="260" w:lineRule="exact"/>
              <w:jc w:val="left"/>
              <w:rPr>
                <w:rFonts w:hint="eastAsia" w:ascii="仿宋" w:hAnsi="仿宋" w:eastAsia="仿宋" w:cs="仿宋"/>
                <w:szCs w:val="21"/>
              </w:rPr>
            </w:pPr>
            <w:r>
              <w:rPr>
                <w:rFonts w:hint="eastAsia" w:ascii="仿宋" w:hAnsi="仿宋" w:eastAsia="仿宋" w:cs="仿宋"/>
                <w:szCs w:val="21"/>
              </w:rPr>
              <w:t>3）财政部门认可的政府采购专业担保机构出具的投标担保函，须同时提供专业担保机构经财政部门认可的证明文件。</w:t>
            </w:r>
            <w:bookmarkEnd w:id="1"/>
          </w:p>
        </w:tc>
      </w:tr>
      <w:tr w14:paraId="5AF3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09" w:type="dxa"/>
            <w:noWrap w:val="0"/>
            <w:vAlign w:val="center"/>
          </w:tcPr>
          <w:p w14:paraId="64BA8775">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1.3</w:t>
            </w:r>
          </w:p>
        </w:tc>
        <w:tc>
          <w:tcPr>
            <w:tcW w:w="9356" w:type="dxa"/>
            <w:noWrap w:val="0"/>
            <w:vAlign w:val="center"/>
          </w:tcPr>
          <w:p w14:paraId="3E4BF145">
            <w:pPr>
              <w:spacing w:before="100" w:beforeAutospacing="1" w:after="100" w:afterAutospacing="1" w:line="260" w:lineRule="exact"/>
              <w:jc w:val="left"/>
              <w:rPr>
                <w:rFonts w:hint="eastAsia" w:ascii="仿宋" w:hAnsi="仿宋" w:eastAsia="仿宋" w:cs="仿宋"/>
                <w:szCs w:val="21"/>
              </w:rPr>
            </w:pPr>
            <w:bookmarkStart w:id="2" w:name="OLE_LINK9"/>
            <w:bookmarkStart w:id="3" w:name="OLE_LINK10"/>
            <w:r>
              <w:rPr>
                <w:rFonts w:hint="eastAsia" w:ascii="仿宋" w:hAnsi="仿宋" w:eastAsia="仿宋" w:cs="仿宋"/>
                <w:szCs w:val="21"/>
              </w:rPr>
              <w:t>投标人须提供具备履行合同所必需的设备和专业技术能力的证明材料</w:t>
            </w:r>
            <w:bookmarkEnd w:id="2"/>
            <w:bookmarkEnd w:id="3"/>
          </w:p>
        </w:tc>
      </w:tr>
      <w:bookmarkEnd w:id="0"/>
      <w:tr w14:paraId="29FD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230C9E38">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1.4</w:t>
            </w:r>
          </w:p>
        </w:tc>
        <w:tc>
          <w:tcPr>
            <w:tcW w:w="9356" w:type="dxa"/>
            <w:noWrap w:val="0"/>
            <w:vAlign w:val="center"/>
          </w:tcPr>
          <w:p w14:paraId="6362DC39">
            <w:pPr>
              <w:spacing w:line="260" w:lineRule="exact"/>
              <w:jc w:val="left"/>
              <w:rPr>
                <w:rFonts w:hint="eastAsia" w:ascii="仿宋" w:hAnsi="仿宋" w:eastAsia="仿宋" w:cs="仿宋"/>
                <w:szCs w:val="21"/>
              </w:rPr>
            </w:pPr>
            <w:bookmarkStart w:id="4" w:name="OLE_LINK3"/>
            <w:r>
              <w:rPr>
                <w:rFonts w:hint="eastAsia" w:ascii="仿宋" w:hAnsi="仿宋" w:eastAsia="仿宋" w:cs="仿宋"/>
                <w:szCs w:val="21"/>
              </w:rPr>
              <w:t>1）投标人是企业的，提供</w:t>
            </w:r>
            <w:r>
              <w:rPr>
                <w:rFonts w:hint="eastAsia" w:ascii="仿宋" w:hAnsi="仿宋" w:eastAsia="仿宋" w:cs="仿宋"/>
                <w:b/>
                <w:szCs w:val="21"/>
              </w:rPr>
              <w:t>202</w:t>
            </w:r>
            <w:r>
              <w:rPr>
                <w:rFonts w:hint="eastAsia" w:ascii="仿宋" w:hAnsi="仿宋" w:eastAsia="仿宋" w:cs="仿宋"/>
                <w:b/>
                <w:szCs w:val="21"/>
                <w:lang w:val="en-US" w:eastAsia="zh-CN"/>
              </w:rPr>
              <w:t>4</w:t>
            </w:r>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的税务局税收通用缴款书复印件或银行电子缴税（费）凭证复印件或税务局出具纳税情况的相关证明复印件；提供</w:t>
            </w:r>
            <w:r>
              <w:rPr>
                <w:rFonts w:hint="eastAsia" w:ascii="仿宋" w:hAnsi="仿宋" w:eastAsia="仿宋" w:cs="仿宋"/>
                <w:b/>
                <w:szCs w:val="21"/>
              </w:rPr>
              <w:t>2023年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的社会保险费缴款书复印件或银行电子缴税（费）凭证复印件或社保管理部门出具的有效的缴款证明复印件：</w:t>
            </w:r>
          </w:p>
          <w:p w14:paraId="7C1D3A61">
            <w:pPr>
              <w:spacing w:line="260" w:lineRule="exact"/>
              <w:jc w:val="left"/>
              <w:rPr>
                <w:rFonts w:hint="eastAsia" w:ascii="仿宋" w:hAnsi="仿宋" w:eastAsia="仿宋" w:cs="仿宋"/>
                <w:szCs w:val="21"/>
              </w:rPr>
            </w:pPr>
            <w:r>
              <w:rPr>
                <w:rFonts w:hint="eastAsia" w:ascii="仿宋" w:hAnsi="仿宋" w:eastAsia="仿宋" w:cs="仿宋"/>
                <w:szCs w:val="21"/>
              </w:rPr>
              <w:t>2）投标人是其他组织和自然人的，提供</w:t>
            </w:r>
            <w:r>
              <w:rPr>
                <w:rFonts w:hint="eastAsia" w:ascii="仿宋" w:hAnsi="仿宋" w:eastAsia="仿宋" w:cs="仿宋"/>
                <w:b/>
                <w:szCs w:val="21"/>
              </w:rPr>
              <w:t>202</w:t>
            </w:r>
            <w:r>
              <w:rPr>
                <w:rFonts w:hint="eastAsia" w:ascii="仿宋" w:hAnsi="仿宋" w:eastAsia="仿宋" w:cs="仿宋"/>
                <w:b/>
                <w:szCs w:val="21"/>
                <w:lang w:val="en-US" w:eastAsia="zh-CN"/>
              </w:rPr>
              <w:t>4</w:t>
            </w:r>
            <w:r>
              <w:rPr>
                <w:rFonts w:hint="eastAsia" w:ascii="仿宋" w:hAnsi="仿宋" w:eastAsia="仿宋" w:cs="仿宋"/>
                <w:b/>
                <w:szCs w:val="21"/>
              </w:rPr>
              <w:t>年</w:t>
            </w:r>
            <w:r>
              <w:rPr>
                <w:rFonts w:hint="eastAsia" w:ascii="仿宋" w:hAnsi="仿宋" w:eastAsia="仿宋" w:cs="仿宋"/>
                <w:b/>
                <w:szCs w:val="21"/>
                <w:u w:val="single"/>
              </w:rPr>
              <w:t>1</w:t>
            </w:r>
            <w:r>
              <w:rPr>
                <w:rFonts w:hint="eastAsia" w:ascii="仿宋" w:hAnsi="仿宋" w:eastAsia="仿宋" w:cs="仿宋"/>
                <w:b/>
                <w:szCs w:val="21"/>
              </w:rPr>
              <w:t>月至投标截止日期前任意2个月</w:t>
            </w:r>
            <w:r>
              <w:rPr>
                <w:rFonts w:hint="eastAsia" w:ascii="仿宋" w:hAnsi="仿宋" w:eastAsia="仿宋" w:cs="仿宋"/>
                <w:szCs w:val="21"/>
              </w:rPr>
              <w:t>的缴纳税收和社会保险的凭据。</w:t>
            </w:r>
          </w:p>
          <w:p w14:paraId="51386365">
            <w:pPr>
              <w:spacing w:line="260" w:lineRule="exact"/>
              <w:jc w:val="left"/>
              <w:rPr>
                <w:rFonts w:hint="eastAsia" w:ascii="仿宋" w:hAnsi="仿宋" w:eastAsia="仿宋" w:cs="仿宋"/>
                <w:szCs w:val="21"/>
              </w:rPr>
            </w:pPr>
            <w:r>
              <w:rPr>
                <w:rFonts w:hint="eastAsia" w:ascii="仿宋" w:hAnsi="仿宋" w:eastAsia="仿宋" w:cs="仿宋"/>
                <w:szCs w:val="21"/>
              </w:rPr>
              <w:t>3）成立时间不足</w:t>
            </w:r>
            <w:r>
              <w:rPr>
                <w:rFonts w:hint="eastAsia" w:ascii="仿宋" w:hAnsi="仿宋" w:eastAsia="仿宋" w:cs="仿宋"/>
                <w:b/>
                <w:szCs w:val="21"/>
              </w:rPr>
              <w:t>2个月</w:t>
            </w:r>
            <w:r>
              <w:rPr>
                <w:rFonts w:hint="eastAsia" w:ascii="仿宋" w:hAnsi="仿宋" w:eastAsia="仿宋" w:cs="仿宋"/>
                <w:szCs w:val="21"/>
              </w:rPr>
              <w:t>的投标人，提供依法缴纳税收和社会保障资金的承诺书。</w:t>
            </w:r>
          </w:p>
          <w:p w14:paraId="75F60EE7">
            <w:pPr>
              <w:spacing w:line="260" w:lineRule="exact"/>
              <w:jc w:val="left"/>
              <w:rPr>
                <w:rFonts w:hint="eastAsia" w:ascii="仿宋" w:hAnsi="仿宋" w:eastAsia="仿宋" w:cs="仿宋"/>
                <w:szCs w:val="21"/>
              </w:rPr>
            </w:pPr>
            <w:r>
              <w:rPr>
                <w:rFonts w:hint="eastAsia" w:ascii="仿宋" w:hAnsi="仿宋" w:eastAsia="仿宋" w:cs="仿宋"/>
                <w:szCs w:val="21"/>
              </w:rPr>
              <w:t>4）依法免税或不需要缴纳社会保障资金的投标人，须提供相应文件证明其依法免税或不需要缴纳社会保障资金。</w:t>
            </w:r>
            <w:bookmarkEnd w:id="4"/>
          </w:p>
        </w:tc>
      </w:tr>
      <w:tr w14:paraId="3E28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1B784868">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1.5</w:t>
            </w:r>
          </w:p>
        </w:tc>
        <w:tc>
          <w:tcPr>
            <w:tcW w:w="9356" w:type="dxa"/>
            <w:noWrap w:val="0"/>
            <w:vAlign w:val="center"/>
          </w:tcPr>
          <w:p w14:paraId="7E19E128">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szCs w:val="21"/>
              </w:rPr>
              <w:t>投标人必须提供</w:t>
            </w:r>
            <w:bookmarkStart w:id="5" w:name="OLE_LINK4"/>
            <w:r>
              <w:rPr>
                <w:rFonts w:hint="eastAsia" w:ascii="仿宋" w:hAnsi="仿宋" w:eastAsia="仿宋" w:cs="仿宋"/>
                <w:szCs w:val="21"/>
              </w:rPr>
              <w:t>参加政府采购活动前3年内在经营活动中没有重大违法记录的书面声明（重大违法记录，是指供应商因违法经营受到刑事处罚或者责令停产停业、吊销许可证或者执照、较大数额罚款等行政处罚）</w:t>
            </w:r>
            <w:bookmarkEnd w:id="5"/>
          </w:p>
        </w:tc>
      </w:tr>
      <w:tr w14:paraId="2653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09" w:type="dxa"/>
            <w:noWrap w:val="0"/>
            <w:vAlign w:val="center"/>
          </w:tcPr>
          <w:p w14:paraId="0AB59451">
            <w:pPr>
              <w:spacing w:before="100" w:beforeAutospacing="1" w:after="100" w:afterAutospacing="1" w:line="260" w:lineRule="exact"/>
              <w:jc w:val="center"/>
              <w:rPr>
                <w:rFonts w:hint="eastAsia" w:ascii="仿宋" w:hAnsi="仿宋" w:eastAsia="仿宋" w:cs="仿宋"/>
                <w:b/>
                <w:szCs w:val="21"/>
              </w:rPr>
            </w:pPr>
            <w:r>
              <w:rPr>
                <w:rFonts w:hint="eastAsia" w:ascii="仿宋" w:hAnsi="仿宋" w:eastAsia="仿宋" w:cs="仿宋"/>
                <w:b/>
                <w:szCs w:val="21"/>
              </w:rPr>
              <w:t>2</w:t>
            </w:r>
          </w:p>
        </w:tc>
        <w:tc>
          <w:tcPr>
            <w:tcW w:w="9356" w:type="dxa"/>
            <w:noWrap w:val="0"/>
            <w:vAlign w:val="center"/>
          </w:tcPr>
          <w:p w14:paraId="77BEBBBC">
            <w:pPr>
              <w:spacing w:before="100" w:beforeAutospacing="1" w:after="100" w:afterAutospacing="1" w:line="260" w:lineRule="exact"/>
              <w:jc w:val="left"/>
              <w:rPr>
                <w:rFonts w:hint="eastAsia" w:ascii="仿宋" w:hAnsi="仿宋" w:eastAsia="仿宋" w:cs="仿宋"/>
                <w:b/>
                <w:szCs w:val="21"/>
              </w:rPr>
            </w:pPr>
            <w:r>
              <w:rPr>
                <w:rFonts w:hint="eastAsia" w:ascii="仿宋" w:hAnsi="仿宋" w:eastAsia="仿宋" w:cs="仿宋"/>
                <w:b/>
                <w:szCs w:val="21"/>
              </w:rPr>
              <w:t>投标人应符合采购人根据采购项目的特殊要求规定的特定条件</w:t>
            </w:r>
          </w:p>
        </w:tc>
      </w:tr>
      <w:tr w14:paraId="66FF1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09" w:type="dxa"/>
            <w:noWrap w:val="0"/>
            <w:vAlign w:val="center"/>
          </w:tcPr>
          <w:p w14:paraId="5F312043">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2.1</w:t>
            </w:r>
          </w:p>
        </w:tc>
        <w:tc>
          <w:tcPr>
            <w:tcW w:w="9356" w:type="dxa"/>
            <w:noWrap w:val="0"/>
            <w:vAlign w:val="center"/>
          </w:tcPr>
          <w:p w14:paraId="604A08CB">
            <w:pPr>
              <w:spacing w:before="100" w:beforeAutospacing="1" w:after="100" w:afterAutospacing="1" w:line="260" w:lineRule="exact"/>
              <w:jc w:val="left"/>
              <w:rPr>
                <w:rFonts w:hint="eastAsia" w:ascii="仿宋" w:hAnsi="仿宋" w:eastAsia="仿宋" w:cs="仿宋"/>
                <w:szCs w:val="21"/>
              </w:rPr>
            </w:pPr>
            <w:bookmarkStart w:id="6" w:name="OLE_LINK5"/>
            <w:r>
              <w:rPr>
                <w:rFonts w:hint="eastAsia" w:ascii="仿宋" w:hAnsi="仿宋" w:eastAsia="仿宋" w:cs="仿宋"/>
                <w:kern w:val="0"/>
                <w:szCs w:val="21"/>
              </w:rPr>
              <w:t>投标人如果是代理商或经销商，须提供医疗器械经营许可/备案证、所投产品制造商医疗器械生产许可/备案证（制造商工商注册地在中华人民共和国境外的，不做此要求）、所投产品的医疗器械注册证；投标人如果是制造商，须提供医疗器械生产许可/备案证（制造商工商注册地在中华人民共和国境外的，不做此要求）、所投产品的医疗器械注册证。医疗器械生产或经营许可/备案证生产或经营范围须覆盖所投第二、三类医疗器械（扫描件加盖电子公章。根据中华人民共和国国务院令第739号《医疗器械监督管理条例》和国家药品监督管理局《医疗器械分类目录》的规定，在《医疗器械分类目录》内的产品必须按照《医疗器械监督管理条例》的要求提供，其他不在《医疗器械分类目录》内的不作强行要求）；</w:t>
            </w:r>
            <w:bookmarkEnd w:id="6"/>
          </w:p>
        </w:tc>
      </w:tr>
      <w:tr w14:paraId="13F0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09" w:type="dxa"/>
            <w:noWrap w:val="0"/>
            <w:vAlign w:val="center"/>
          </w:tcPr>
          <w:p w14:paraId="5835ACD6">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2.2</w:t>
            </w:r>
          </w:p>
        </w:tc>
        <w:tc>
          <w:tcPr>
            <w:tcW w:w="9356" w:type="dxa"/>
            <w:noWrap w:val="0"/>
            <w:vAlign w:val="center"/>
          </w:tcPr>
          <w:p w14:paraId="54D88016">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投标人未被列入“信用中国”网站（www.creditchina.gov.cn）失信被执行人、重大税收违法失信主体及中国政府采购网（www.ccgp.gov.cn）“政府采购严重违法失信行为信息记录”</w:t>
            </w:r>
            <w:r>
              <w:rPr>
                <w:rFonts w:hint="eastAsia" w:ascii="仿宋" w:hAnsi="仿宋" w:eastAsia="仿宋" w:cs="仿宋"/>
                <w:bCs/>
                <w:szCs w:val="21"/>
              </w:rPr>
              <w:t xml:space="preserve"> （处罚期限尚未届满的）</w:t>
            </w:r>
          </w:p>
        </w:tc>
      </w:tr>
      <w:tr w14:paraId="469E3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09" w:type="dxa"/>
            <w:noWrap w:val="0"/>
            <w:vAlign w:val="center"/>
          </w:tcPr>
          <w:p w14:paraId="5E9FE947">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2.3</w:t>
            </w:r>
          </w:p>
        </w:tc>
        <w:tc>
          <w:tcPr>
            <w:tcW w:w="9356" w:type="dxa"/>
            <w:noWrap w:val="0"/>
            <w:vAlign w:val="center"/>
          </w:tcPr>
          <w:p w14:paraId="5F3B925C">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单位负责人为同一人或者存在直接控股、管理关系的不同投标人，不得参加同一招标项目包的政府采购活动。</w:t>
            </w:r>
          </w:p>
        </w:tc>
      </w:tr>
      <w:tr w14:paraId="74CAD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09" w:type="dxa"/>
            <w:noWrap w:val="0"/>
            <w:vAlign w:val="center"/>
          </w:tcPr>
          <w:p w14:paraId="65A6F1BF">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2.4</w:t>
            </w:r>
          </w:p>
        </w:tc>
        <w:tc>
          <w:tcPr>
            <w:tcW w:w="9356" w:type="dxa"/>
            <w:noWrap w:val="0"/>
            <w:vAlign w:val="center"/>
          </w:tcPr>
          <w:p w14:paraId="42F2A57C">
            <w:pPr>
              <w:spacing w:before="100" w:beforeAutospacing="1" w:after="100" w:afterAutospacing="1" w:line="260" w:lineRule="exact"/>
              <w:jc w:val="left"/>
              <w:rPr>
                <w:rFonts w:hint="eastAsia" w:ascii="仿宋" w:hAnsi="仿宋" w:eastAsia="仿宋" w:cs="仿宋"/>
                <w:kern w:val="0"/>
                <w:szCs w:val="21"/>
              </w:rPr>
            </w:pPr>
            <w:r>
              <w:rPr>
                <w:rFonts w:hint="eastAsia" w:ascii="仿宋" w:hAnsi="仿宋" w:eastAsia="仿宋" w:cs="仿宋"/>
                <w:kern w:val="0"/>
                <w:szCs w:val="21"/>
              </w:rPr>
              <w:t>为本项目提供整体设计、规范编制或者项目管理、监理、检测等服务的供应商，不得再参加本项目投标。</w:t>
            </w:r>
          </w:p>
        </w:tc>
      </w:tr>
      <w:tr w14:paraId="47F1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09" w:type="dxa"/>
            <w:noWrap w:val="0"/>
            <w:vAlign w:val="center"/>
          </w:tcPr>
          <w:p w14:paraId="669918BC">
            <w:pPr>
              <w:spacing w:before="100" w:beforeAutospacing="1" w:after="100" w:afterAutospacing="1" w:line="260" w:lineRule="exact"/>
              <w:jc w:val="center"/>
              <w:rPr>
                <w:rFonts w:hint="eastAsia" w:ascii="仿宋" w:hAnsi="仿宋" w:eastAsia="仿宋" w:cs="仿宋"/>
                <w:szCs w:val="21"/>
              </w:rPr>
            </w:pPr>
            <w:r>
              <w:rPr>
                <w:rFonts w:hint="eastAsia" w:ascii="仿宋" w:hAnsi="仿宋" w:eastAsia="仿宋" w:cs="仿宋"/>
                <w:szCs w:val="21"/>
              </w:rPr>
              <w:t>3</w:t>
            </w:r>
          </w:p>
        </w:tc>
        <w:tc>
          <w:tcPr>
            <w:tcW w:w="9356" w:type="dxa"/>
            <w:noWrap w:val="0"/>
            <w:vAlign w:val="center"/>
          </w:tcPr>
          <w:p w14:paraId="1F08F671">
            <w:pPr>
              <w:spacing w:before="100" w:beforeAutospacing="1" w:after="100" w:afterAutospacing="1" w:line="260" w:lineRule="exact"/>
              <w:jc w:val="left"/>
              <w:rPr>
                <w:rFonts w:hint="eastAsia" w:ascii="仿宋" w:hAnsi="仿宋" w:eastAsia="仿宋" w:cs="仿宋"/>
                <w:szCs w:val="21"/>
              </w:rPr>
            </w:pPr>
            <w:r>
              <w:rPr>
                <w:rFonts w:hint="eastAsia" w:ascii="仿宋" w:hAnsi="仿宋" w:eastAsia="仿宋" w:cs="仿宋"/>
                <w:kern w:val="0"/>
                <w:szCs w:val="21"/>
              </w:rPr>
              <w:t>本项目不接受联合体投标</w:t>
            </w:r>
          </w:p>
        </w:tc>
      </w:tr>
    </w:tbl>
    <w:p w14:paraId="1379D230">
      <w:pPr>
        <w:rPr>
          <w:rFonts w:hint="eastAsia" w:ascii="楷体" w:hAnsi="楷体" w:eastAsia="楷体" w:cs="楷体"/>
          <w:b/>
          <w:bCs/>
          <w:sz w:val="28"/>
          <w:szCs w:val="28"/>
        </w:rPr>
      </w:pPr>
      <w:r>
        <w:rPr>
          <w:rFonts w:hint="eastAsia" w:ascii="楷体" w:hAnsi="楷体" w:eastAsia="楷体" w:cs="楷体"/>
          <w:b/>
          <w:bCs/>
          <w:sz w:val="28"/>
          <w:szCs w:val="28"/>
        </w:rPr>
        <w:br w:type="page"/>
      </w:r>
    </w:p>
    <w:p w14:paraId="7C856827">
      <w:pPr>
        <w:jc w:val="center"/>
        <w:rPr>
          <w:rFonts w:hint="eastAsia" w:ascii="楷体" w:hAnsi="楷体" w:eastAsia="楷体" w:cs="楷体"/>
          <w:b/>
          <w:bCs/>
          <w:sz w:val="28"/>
          <w:szCs w:val="28"/>
        </w:rPr>
      </w:pPr>
      <w:r>
        <w:rPr>
          <w:rFonts w:hint="eastAsia" w:ascii="楷体" w:hAnsi="楷体" w:eastAsia="楷体" w:cs="楷体"/>
          <w:b/>
          <w:bCs/>
          <w:sz w:val="28"/>
          <w:szCs w:val="28"/>
        </w:rPr>
        <w:t>评标方法（综合评分法）</w:t>
      </w:r>
    </w:p>
    <w:tbl>
      <w:tblPr>
        <w:tblStyle w:val="9"/>
        <w:tblpPr w:leftFromText="180" w:rightFromText="180" w:vertAnchor="text" w:horzAnchor="page" w:tblpX="1530" w:tblpY="624"/>
        <w:tblOverlap w:val="never"/>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245"/>
        <w:gridCol w:w="5689"/>
      </w:tblGrid>
      <w:tr w14:paraId="5D95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1276" w:type="dxa"/>
            <w:noWrap w:val="0"/>
            <w:vAlign w:val="center"/>
          </w:tcPr>
          <w:p w14:paraId="0ED6CAC3">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评审程序</w:t>
            </w:r>
          </w:p>
        </w:tc>
        <w:tc>
          <w:tcPr>
            <w:tcW w:w="7934" w:type="dxa"/>
            <w:gridSpan w:val="2"/>
            <w:noWrap w:val="0"/>
            <w:vAlign w:val="center"/>
          </w:tcPr>
          <w:p w14:paraId="6C6DD98E">
            <w:pPr>
              <w:spacing w:before="100" w:beforeAutospacing="1" w:after="100" w:afterAutospacing="1"/>
              <w:jc w:val="center"/>
              <w:rPr>
                <w:rFonts w:hint="eastAsia" w:ascii="仿宋" w:hAnsi="仿宋" w:eastAsia="仿宋" w:cs="仿宋"/>
                <w:b/>
                <w:szCs w:val="21"/>
              </w:rPr>
            </w:pPr>
            <w:r>
              <w:rPr>
                <w:rFonts w:hint="eastAsia" w:ascii="仿宋" w:hAnsi="仿宋" w:eastAsia="仿宋" w:cs="仿宋"/>
                <w:b/>
                <w:szCs w:val="21"/>
              </w:rPr>
              <w:t>评 审 内 容 及 标 准</w:t>
            </w:r>
          </w:p>
        </w:tc>
      </w:tr>
      <w:tr w14:paraId="76C8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restart"/>
            <w:noWrap w:val="0"/>
            <w:vAlign w:val="center"/>
          </w:tcPr>
          <w:p w14:paraId="76018D61">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符合性评审标准</w:t>
            </w:r>
          </w:p>
        </w:tc>
        <w:tc>
          <w:tcPr>
            <w:tcW w:w="7934" w:type="dxa"/>
            <w:gridSpan w:val="2"/>
            <w:noWrap w:val="0"/>
            <w:vAlign w:val="center"/>
          </w:tcPr>
          <w:p w14:paraId="03F19572">
            <w:pPr>
              <w:spacing w:before="100" w:beforeAutospacing="1" w:after="100" w:afterAutospacing="1"/>
              <w:jc w:val="left"/>
              <w:rPr>
                <w:rFonts w:hint="eastAsia" w:ascii="仿宋" w:hAnsi="仿宋" w:eastAsia="仿宋" w:cs="仿宋"/>
                <w:b/>
                <w:szCs w:val="21"/>
              </w:rPr>
            </w:pPr>
            <w:r>
              <w:rPr>
                <w:rFonts w:hint="eastAsia" w:ascii="仿宋" w:hAnsi="仿宋" w:eastAsia="仿宋" w:cs="仿宋"/>
                <w:b/>
                <w:szCs w:val="21"/>
              </w:rPr>
              <w:t>投标人存在下列情况之一的，投标无效：</w:t>
            </w:r>
          </w:p>
        </w:tc>
      </w:tr>
      <w:tr w14:paraId="7D20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76" w:type="dxa"/>
            <w:vMerge w:val="continue"/>
            <w:noWrap w:val="0"/>
            <w:vAlign w:val="center"/>
          </w:tcPr>
          <w:p w14:paraId="3F2A5D0B">
            <w:pPr>
              <w:spacing w:before="100" w:beforeAutospacing="1" w:after="100" w:afterAutospacing="1"/>
              <w:rPr>
                <w:rFonts w:hint="eastAsia" w:ascii="仿宋" w:hAnsi="仿宋" w:eastAsia="仿宋" w:cs="仿宋"/>
                <w:szCs w:val="21"/>
              </w:rPr>
            </w:pPr>
          </w:p>
        </w:tc>
        <w:tc>
          <w:tcPr>
            <w:tcW w:w="2245" w:type="dxa"/>
            <w:noWrap w:val="0"/>
            <w:vAlign w:val="center"/>
          </w:tcPr>
          <w:p w14:paraId="536B6F17">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投标文件签署、盖章</w:t>
            </w:r>
          </w:p>
        </w:tc>
        <w:tc>
          <w:tcPr>
            <w:tcW w:w="5689" w:type="dxa"/>
            <w:noWrap w:val="0"/>
            <w:vAlign w:val="center"/>
          </w:tcPr>
          <w:p w14:paraId="4938CDBB">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投标文件未按招标文件要求签署、盖章的；</w:t>
            </w:r>
          </w:p>
        </w:tc>
      </w:tr>
      <w:tr w14:paraId="4871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276" w:type="dxa"/>
            <w:vMerge w:val="continue"/>
            <w:noWrap w:val="0"/>
            <w:vAlign w:val="center"/>
          </w:tcPr>
          <w:p w14:paraId="36AAC72C">
            <w:pPr>
              <w:spacing w:before="100" w:beforeAutospacing="1" w:after="100" w:afterAutospacing="1"/>
              <w:rPr>
                <w:rFonts w:hint="eastAsia" w:ascii="仿宋" w:hAnsi="仿宋" w:eastAsia="仿宋" w:cs="仿宋"/>
                <w:szCs w:val="21"/>
              </w:rPr>
            </w:pPr>
          </w:p>
        </w:tc>
        <w:tc>
          <w:tcPr>
            <w:tcW w:w="2245" w:type="dxa"/>
            <w:noWrap w:val="0"/>
            <w:vAlign w:val="center"/>
          </w:tcPr>
          <w:p w14:paraId="27D5FDFD">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法定代表人身份证明书及法定代表人授权委托书</w:t>
            </w:r>
          </w:p>
        </w:tc>
        <w:tc>
          <w:tcPr>
            <w:tcW w:w="5689" w:type="dxa"/>
            <w:noWrap w:val="0"/>
            <w:vAlign w:val="center"/>
          </w:tcPr>
          <w:p w14:paraId="77616790">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未按招标文件要求的内容提供或未按要求签署、盖章的；</w:t>
            </w:r>
          </w:p>
        </w:tc>
      </w:tr>
      <w:tr w14:paraId="5F99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14:paraId="2776AEB3">
            <w:pPr>
              <w:spacing w:before="100" w:beforeAutospacing="1" w:after="100" w:afterAutospacing="1"/>
              <w:rPr>
                <w:rFonts w:hint="eastAsia" w:ascii="仿宋" w:hAnsi="仿宋" w:eastAsia="仿宋" w:cs="仿宋"/>
                <w:szCs w:val="21"/>
              </w:rPr>
            </w:pPr>
          </w:p>
        </w:tc>
        <w:tc>
          <w:tcPr>
            <w:tcW w:w="2245" w:type="dxa"/>
            <w:noWrap w:val="0"/>
            <w:vAlign w:val="center"/>
          </w:tcPr>
          <w:p w14:paraId="6210359C">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投标报价</w:t>
            </w:r>
          </w:p>
        </w:tc>
        <w:tc>
          <w:tcPr>
            <w:tcW w:w="5689" w:type="dxa"/>
            <w:noWrap w:val="0"/>
            <w:vAlign w:val="center"/>
          </w:tcPr>
          <w:p w14:paraId="25978EE5">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投标报价超过招标文件中规定的预算金额或者最高限价的；</w:t>
            </w:r>
          </w:p>
        </w:tc>
      </w:tr>
      <w:tr w14:paraId="27AB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6" w:type="dxa"/>
            <w:vMerge w:val="continue"/>
            <w:noWrap w:val="0"/>
            <w:vAlign w:val="center"/>
          </w:tcPr>
          <w:p w14:paraId="50FCDB86">
            <w:pPr>
              <w:spacing w:before="100" w:beforeAutospacing="1" w:after="100" w:afterAutospacing="1"/>
              <w:rPr>
                <w:rFonts w:hint="eastAsia" w:ascii="仿宋" w:hAnsi="仿宋" w:eastAsia="仿宋" w:cs="仿宋"/>
                <w:szCs w:val="21"/>
              </w:rPr>
            </w:pPr>
          </w:p>
        </w:tc>
        <w:tc>
          <w:tcPr>
            <w:tcW w:w="2245" w:type="dxa"/>
            <w:noWrap w:val="0"/>
            <w:vAlign w:val="center"/>
          </w:tcPr>
          <w:p w14:paraId="28F97DF4">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不能接受的附加条件</w:t>
            </w:r>
          </w:p>
        </w:tc>
        <w:tc>
          <w:tcPr>
            <w:tcW w:w="5689" w:type="dxa"/>
            <w:noWrap w:val="0"/>
            <w:vAlign w:val="center"/>
          </w:tcPr>
          <w:p w14:paraId="4B94EF4A">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投标文件含有采购人不能接受的附加条件的;</w:t>
            </w:r>
          </w:p>
        </w:tc>
      </w:tr>
      <w:tr w14:paraId="6B86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276" w:type="dxa"/>
            <w:vMerge w:val="continue"/>
            <w:noWrap w:val="0"/>
            <w:vAlign w:val="center"/>
          </w:tcPr>
          <w:p w14:paraId="55149BA9">
            <w:pPr>
              <w:spacing w:before="100" w:beforeAutospacing="1" w:after="100" w:afterAutospacing="1"/>
              <w:rPr>
                <w:rFonts w:hint="eastAsia" w:ascii="仿宋" w:hAnsi="仿宋" w:eastAsia="仿宋" w:cs="仿宋"/>
                <w:szCs w:val="21"/>
              </w:rPr>
            </w:pPr>
          </w:p>
        </w:tc>
        <w:tc>
          <w:tcPr>
            <w:tcW w:w="2245" w:type="dxa"/>
            <w:noWrap w:val="0"/>
            <w:vAlign w:val="center"/>
          </w:tcPr>
          <w:p w14:paraId="5F086F90">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其它实质性条件</w:t>
            </w:r>
          </w:p>
        </w:tc>
        <w:tc>
          <w:tcPr>
            <w:tcW w:w="5689" w:type="dxa"/>
            <w:noWrap w:val="0"/>
            <w:vAlign w:val="center"/>
          </w:tcPr>
          <w:p w14:paraId="40F86A46">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未实质性响应招标文件中标注</w:t>
            </w:r>
            <w:r>
              <w:rPr>
                <w:rFonts w:hint="eastAsia" w:ascii="仿宋" w:hAnsi="仿宋" w:eastAsia="仿宋" w:cs="仿宋"/>
                <w:szCs w:val="21"/>
                <w:lang w:val="en-US" w:eastAsia="zh-CN"/>
              </w:rPr>
              <w:t>实质性</w:t>
            </w:r>
            <w:r>
              <w:rPr>
                <w:rFonts w:hint="eastAsia" w:ascii="仿宋" w:hAnsi="仿宋" w:eastAsia="仿宋" w:cs="仿宋"/>
                <w:szCs w:val="21"/>
              </w:rPr>
              <w:t>条款内容的；</w:t>
            </w:r>
          </w:p>
        </w:tc>
      </w:tr>
      <w:tr w14:paraId="669C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76" w:type="dxa"/>
            <w:vMerge w:val="continue"/>
            <w:noWrap w:val="0"/>
            <w:vAlign w:val="center"/>
          </w:tcPr>
          <w:p w14:paraId="03952F7A">
            <w:pPr>
              <w:spacing w:before="100" w:beforeAutospacing="1" w:after="100" w:afterAutospacing="1"/>
              <w:rPr>
                <w:rFonts w:hint="eastAsia" w:ascii="仿宋" w:hAnsi="仿宋" w:eastAsia="仿宋" w:cs="仿宋"/>
                <w:szCs w:val="21"/>
              </w:rPr>
            </w:pPr>
          </w:p>
        </w:tc>
        <w:tc>
          <w:tcPr>
            <w:tcW w:w="2245" w:type="dxa"/>
            <w:noWrap w:val="0"/>
            <w:vAlign w:val="center"/>
          </w:tcPr>
          <w:p w14:paraId="51B472BD">
            <w:pPr>
              <w:spacing w:before="100" w:beforeAutospacing="1" w:after="100" w:afterAutospacing="1"/>
              <w:jc w:val="center"/>
              <w:rPr>
                <w:rFonts w:hint="eastAsia" w:ascii="仿宋" w:hAnsi="仿宋" w:eastAsia="仿宋" w:cs="仿宋"/>
                <w:szCs w:val="21"/>
              </w:rPr>
            </w:pPr>
            <w:r>
              <w:rPr>
                <w:rFonts w:hint="eastAsia" w:ascii="仿宋" w:hAnsi="仿宋" w:eastAsia="仿宋" w:cs="仿宋"/>
                <w:szCs w:val="21"/>
              </w:rPr>
              <w:t>其他无效情形</w:t>
            </w:r>
          </w:p>
        </w:tc>
        <w:tc>
          <w:tcPr>
            <w:tcW w:w="5689" w:type="dxa"/>
            <w:noWrap w:val="0"/>
            <w:vAlign w:val="center"/>
          </w:tcPr>
          <w:p w14:paraId="75E267B9">
            <w:pPr>
              <w:spacing w:before="100" w:beforeAutospacing="1" w:after="100" w:afterAutospacing="1"/>
              <w:jc w:val="left"/>
              <w:rPr>
                <w:rFonts w:hint="eastAsia" w:ascii="仿宋" w:hAnsi="仿宋" w:eastAsia="仿宋" w:cs="仿宋"/>
                <w:szCs w:val="21"/>
              </w:rPr>
            </w:pPr>
            <w:r>
              <w:rPr>
                <w:rFonts w:hint="eastAsia" w:ascii="仿宋" w:hAnsi="仿宋" w:eastAsia="仿宋" w:cs="仿宋"/>
                <w:szCs w:val="21"/>
              </w:rPr>
              <w:t>法律、法规和招标文件规定的其他无效情形。</w:t>
            </w:r>
          </w:p>
        </w:tc>
      </w:tr>
      <w:tr w14:paraId="6B06D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9210" w:type="dxa"/>
            <w:gridSpan w:val="3"/>
            <w:noWrap w:val="0"/>
            <w:vAlign w:val="center"/>
          </w:tcPr>
          <w:p w14:paraId="50C5DA5B">
            <w:pPr>
              <w:spacing w:before="100" w:beforeAutospacing="1" w:after="100" w:afterAutospacing="1"/>
              <w:jc w:val="left"/>
              <w:rPr>
                <w:rFonts w:hint="eastAsia" w:ascii="仿宋" w:hAnsi="仿宋" w:eastAsia="仿宋" w:cs="仿宋"/>
                <w:szCs w:val="21"/>
                <w:lang w:eastAsia="zh-CN"/>
              </w:rPr>
            </w:pPr>
            <w:bookmarkStart w:id="7" w:name="OLE_LINK7"/>
            <w:r>
              <w:rPr>
                <w:rFonts w:hint="eastAsia" w:ascii="仿宋" w:hAnsi="仿宋" w:eastAsia="仿宋" w:cs="仿宋"/>
                <w:szCs w:val="21"/>
              </w:rPr>
              <w:t>提供相同品牌产品且通过资格审查、符合性审查的不同投标人参加同一招标项目包投标的，按一家投标人计算，评审后得分最高的同品牌投标人获得中标人推荐资格；评审得分相同的，评标委员会将依次按价格部分得分高优先、技术部分得分高优先、商务部分得分高优先的顺序确定；所有得分均相等的，技术指标高优先、质保期长优先、交货时间短优先、故障到达时间短优先的顺序确定一个投标人获得中标人推荐资格，其他同品牌投标人不作为中标候选人</w:t>
            </w:r>
            <w:r>
              <w:rPr>
                <w:rFonts w:hint="eastAsia" w:ascii="仿宋" w:hAnsi="仿宋" w:eastAsia="仿宋" w:cs="仿宋"/>
                <w:szCs w:val="21"/>
                <w:lang w:eastAsia="zh-CN"/>
              </w:rPr>
              <w:t>。</w:t>
            </w:r>
          </w:p>
        </w:tc>
      </w:tr>
    </w:tbl>
    <w:p w14:paraId="55D3EB64">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bookmarkEnd w:id="7"/>
      <w:r>
        <w:rPr>
          <w:rFonts w:hint="eastAsia" w:ascii="楷体" w:hAnsi="楷体" w:eastAsia="楷体" w:cs="楷体"/>
          <w:b/>
          <w:bCs/>
          <w:sz w:val="28"/>
          <w:szCs w:val="28"/>
        </w:rPr>
        <w:t>前附表</w:t>
      </w:r>
    </w:p>
    <w:p w14:paraId="3A3CAF5C">
      <w:bookmarkStart w:id="8" w:name="OLE_LINK6" w:colFirst="0" w:colLast="1"/>
    </w:p>
    <w:p w14:paraId="100A4C5F">
      <w:pPr>
        <w:jc w:val="center"/>
        <w:rPr>
          <w:rFonts w:hint="eastAsia" w:ascii="楷体" w:hAnsi="楷体" w:eastAsia="楷体" w:cs="楷体"/>
          <w:b/>
          <w:bCs/>
          <w:sz w:val="28"/>
          <w:szCs w:val="28"/>
        </w:rPr>
      </w:pPr>
      <w:r>
        <w:rPr>
          <w:rFonts w:hint="eastAsia" w:ascii="楷体" w:hAnsi="楷体" w:eastAsia="楷体" w:cs="楷体"/>
          <w:b/>
          <w:bCs/>
          <w:sz w:val="28"/>
          <w:szCs w:val="28"/>
        </w:rPr>
        <w:t>评标方法</w:t>
      </w:r>
    </w:p>
    <w:tbl>
      <w:tblPr>
        <w:tblStyle w:val="9"/>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6807"/>
      </w:tblGrid>
      <w:tr w14:paraId="5236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blHeader/>
          <w:jc w:val="center"/>
        </w:trPr>
        <w:tc>
          <w:tcPr>
            <w:tcW w:w="2277" w:type="dxa"/>
            <w:tcBorders>
              <w:tl2br w:val="nil"/>
              <w:tr2bl w:val="nil"/>
            </w:tcBorders>
            <w:vAlign w:val="bottom"/>
          </w:tcPr>
          <w:p w14:paraId="020D0406">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因</w:t>
            </w:r>
            <w:r>
              <w:rPr>
                <w:rFonts w:hint="eastAsia" w:ascii="仿宋" w:hAnsi="仿宋" w:eastAsia="仿宋" w:cs="仿宋"/>
                <w:b/>
                <w:szCs w:val="21"/>
                <w:lang w:val="en-US" w:eastAsia="zh-CN"/>
              </w:rPr>
              <w:t xml:space="preserve"> </w:t>
            </w:r>
            <w:r>
              <w:rPr>
                <w:rFonts w:hint="eastAsia" w:ascii="仿宋" w:hAnsi="仿宋" w:eastAsia="仿宋" w:cs="仿宋"/>
                <w:b/>
                <w:szCs w:val="21"/>
              </w:rPr>
              <w:t>素</w:t>
            </w:r>
          </w:p>
        </w:tc>
        <w:tc>
          <w:tcPr>
            <w:tcW w:w="6807" w:type="dxa"/>
            <w:tcBorders>
              <w:tl2br w:val="nil"/>
              <w:tr2bl w:val="nil"/>
            </w:tcBorders>
            <w:vAlign w:val="bottom"/>
          </w:tcPr>
          <w:p w14:paraId="6D95E8C1">
            <w:pPr>
              <w:jc w:val="center"/>
              <w:rPr>
                <w:rFonts w:ascii="方正仿宋_GBK" w:hAnsi="宋体" w:eastAsia="方正仿宋_GBK"/>
                <w:b/>
                <w:szCs w:val="21"/>
              </w:rPr>
            </w:pPr>
            <w:r>
              <w:rPr>
                <w:rFonts w:hint="eastAsia" w:ascii="仿宋" w:hAnsi="仿宋" w:eastAsia="仿宋" w:cs="仿宋"/>
                <w:b/>
                <w:szCs w:val="21"/>
              </w:rPr>
              <w:t>评</w:t>
            </w:r>
            <w:r>
              <w:rPr>
                <w:rFonts w:hint="eastAsia" w:ascii="仿宋" w:hAnsi="仿宋" w:eastAsia="仿宋" w:cs="仿宋"/>
                <w:b/>
                <w:szCs w:val="21"/>
                <w:lang w:val="en-US" w:eastAsia="zh-CN"/>
              </w:rPr>
              <w:t xml:space="preserve"> </w:t>
            </w:r>
            <w:r>
              <w:rPr>
                <w:rFonts w:hint="eastAsia" w:ascii="仿宋" w:hAnsi="仿宋" w:eastAsia="仿宋" w:cs="仿宋"/>
                <w:b/>
                <w:szCs w:val="21"/>
              </w:rPr>
              <w:t>审</w:t>
            </w:r>
            <w:r>
              <w:rPr>
                <w:rFonts w:hint="eastAsia" w:ascii="仿宋" w:hAnsi="仿宋" w:eastAsia="仿宋" w:cs="仿宋"/>
                <w:b/>
                <w:szCs w:val="21"/>
                <w:lang w:val="en-US" w:eastAsia="zh-CN"/>
              </w:rPr>
              <w:t xml:space="preserve"> </w:t>
            </w:r>
            <w:r>
              <w:rPr>
                <w:rFonts w:hint="eastAsia" w:ascii="仿宋" w:hAnsi="仿宋" w:eastAsia="仿宋" w:cs="仿宋"/>
                <w:b/>
                <w:szCs w:val="21"/>
              </w:rPr>
              <w:t>标</w:t>
            </w:r>
            <w:r>
              <w:rPr>
                <w:rFonts w:hint="eastAsia" w:ascii="仿宋" w:hAnsi="仿宋" w:eastAsia="仿宋" w:cs="仿宋"/>
                <w:b/>
                <w:szCs w:val="21"/>
                <w:lang w:val="en-US" w:eastAsia="zh-CN"/>
              </w:rPr>
              <w:t xml:space="preserve"> </w:t>
            </w:r>
            <w:r>
              <w:rPr>
                <w:rFonts w:hint="eastAsia" w:ascii="仿宋" w:hAnsi="仿宋" w:eastAsia="仿宋" w:cs="仿宋"/>
                <w:b/>
                <w:szCs w:val="21"/>
              </w:rPr>
              <w:t>准</w:t>
            </w:r>
          </w:p>
        </w:tc>
      </w:tr>
      <w:bookmarkEnd w:id="8"/>
      <w:tr w14:paraId="7EE0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79E0EA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服务体系、规范化管理体系、现场服务</w:t>
            </w:r>
            <w:r>
              <w:rPr>
                <w:rFonts w:hint="eastAsia" w:ascii="楷体" w:hAnsi="楷体" w:eastAsia="楷体" w:cs="楷体"/>
                <w:color w:val="000000"/>
                <w:sz w:val="21"/>
                <w:szCs w:val="21"/>
                <w:lang w:eastAsia="zh-CN"/>
              </w:rPr>
              <w:t>、</w:t>
            </w:r>
            <w:r>
              <w:rPr>
                <w:rFonts w:hint="eastAsia" w:ascii="楷体" w:hAnsi="楷体" w:eastAsia="楷体" w:cs="楷体"/>
                <w:color w:val="000000"/>
                <w:sz w:val="21"/>
                <w:szCs w:val="21"/>
                <w:lang w:val="en-US" w:eastAsia="zh-CN"/>
              </w:rPr>
              <w:t>实施方案及</w:t>
            </w:r>
            <w:r>
              <w:rPr>
                <w:rFonts w:hint="eastAsia" w:ascii="楷体" w:hAnsi="楷体" w:eastAsia="楷体" w:cs="楷体"/>
                <w:color w:val="000000"/>
                <w:sz w:val="21"/>
                <w:szCs w:val="21"/>
              </w:rPr>
              <w:t>售后服务方案</w:t>
            </w:r>
          </w:p>
          <w:p w14:paraId="4A4759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13</w:t>
            </w:r>
            <w:r>
              <w:rPr>
                <w:rFonts w:hint="eastAsia" w:ascii="楷体" w:hAnsi="楷体" w:eastAsia="楷体" w:cs="楷体"/>
                <w:color w:val="000000"/>
                <w:sz w:val="21"/>
                <w:szCs w:val="21"/>
              </w:rPr>
              <w:t>分）</w:t>
            </w:r>
          </w:p>
        </w:tc>
        <w:tc>
          <w:tcPr>
            <w:tcW w:w="6807" w:type="dxa"/>
            <w:tcBorders>
              <w:tl2br w:val="nil"/>
              <w:tr2bl w:val="nil"/>
            </w:tcBorders>
            <w:vAlign w:val="center"/>
          </w:tcPr>
          <w:p w14:paraId="2ED526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第一个档次（</w:t>
            </w:r>
            <w:r>
              <w:rPr>
                <w:rFonts w:hint="eastAsia" w:ascii="仿宋" w:hAnsi="仿宋" w:eastAsia="仿宋" w:cs="仿宋"/>
                <w:szCs w:val="21"/>
                <w:lang w:val="en-US" w:eastAsia="zh-CN"/>
              </w:rPr>
              <w:t>10-13</w:t>
            </w:r>
            <w:r>
              <w:rPr>
                <w:rFonts w:hint="eastAsia" w:ascii="仿宋" w:hAnsi="仿宋" w:eastAsia="仿宋" w:cs="仿宋"/>
                <w:szCs w:val="21"/>
                <w:lang w:eastAsia="zh-CN"/>
              </w:rPr>
              <w:t>分）：有完善的服务体系、管理体系，技术服务团队人员能及时响应并解决故障，供货计划安排、质量承诺及保证措施、售后服务能力及服务保障措施、技术方案、培训计划及课程安排、培训师资力量配备、应急预案完善具体，针对性强，有明确的违约责任，现场服务技术力量及人员组成优；</w:t>
            </w:r>
          </w:p>
          <w:p w14:paraId="6561542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第二个档次（</w:t>
            </w:r>
            <w:r>
              <w:rPr>
                <w:rFonts w:hint="eastAsia" w:ascii="仿宋" w:hAnsi="仿宋" w:eastAsia="仿宋" w:cs="仿宋"/>
                <w:szCs w:val="21"/>
                <w:lang w:val="en-US" w:eastAsia="zh-CN"/>
              </w:rPr>
              <w:t>5-9</w:t>
            </w:r>
            <w:r>
              <w:rPr>
                <w:rFonts w:hint="eastAsia" w:ascii="仿宋" w:hAnsi="仿宋" w:eastAsia="仿宋" w:cs="仿宋"/>
                <w:szCs w:val="21"/>
                <w:lang w:eastAsia="zh-CN"/>
              </w:rPr>
              <w:t>分）：有规范的服务体系、管理体系，供货计划安排、质量承诺及保证措施、售后服务能力及服务保障措施、技术方案、培训计划及课程安排、培训师资力量配备、应急预案具体可行，有一定的针对性，有明确的违约责任，现场服务技术力量及人员组成良好；</w:t>
            </w:r>
          </w:p>
          <w:p w14:paraId="7C284EE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第三个档次（</w:t>
            </w:r>
            <w:r>
              <w:rPr>
                <w:rFonts w:hint="eastAsia" w:ascii="仿宋" w:hAnsi="仿宋" w:eastAsia="仿宋" w:cs="仿宋"/>
                <w:szCs w:val="21"/>
                <w:lang w:val="en-US" w:eastAsia="zh-CN"/>
              </w:rPr>
              <w:t>0-4</w:t>
            </w:r>
            <w:r>
              <w:rPr>
                <w:rFonts w:hint="eastAsia" w:ascii="仿宋" w:hAnsi="仿宋" w:eastAsia="仿宋" w:cs="仿宋"/>
                <w:szCs w:val="21"/>
                <w:lang w:eastAsia="zh-CN"/>
              </w:rPr>
              <w:t>分）：服务体系、管理体系规范性一般，供货计划安排、质量承诺及保证措施、售后服务能力及服务保障措施、技术方案、培训计划及课程安排、培训师资力量配备、应急预案基本可行，但缺乏针对性，违约责任不具体，现场服务技术力量及人员组成一般。</w:t>
            </w:r>
          </w:p>
        </w:tc>
      </w:tr>
      <w:tr w14:paraId="6BC72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7862C0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技术参数</w:t>
            </w:r>
          </w:p>
          <w:p w14:paraId="4433F9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宋体" w:eastAsia="方正仿宋_GBK" w:cs="宋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50</w:t>
            </w:r>
            <w:r>
              <w:rPr>
                <w:rFonts w:hint="eastAsia" w:ascii="楷体" w:hAnsi="楷体" w:eastAsia="楷体" w:cs="楷体"/>
                <w:color w:val="000000"/>
                <w:sz w:val="21"/>
                <w:szCs w:val="21"/>
              </w:rPr>
              <w:t>分）</w:t>
            </w:r>
          </w:p>
        </w:tc>
        <w:tc>
          <w:tcPr>
            <w:tcW w:w="6807" w:type="dxa"/>
            <w:tcBorders>
              <w:tl2br w:val="nil"/>
              <w:tr2bl w:val="nil"/>
            </w:tcBorders>
            <w:vAlign w:val="center"/>
          </w:tcPr>
          <w:tbl>
            <w:tblPr>
              <w:tblStyle w:val="9"/>
              <w:tblW w:w="92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42"/>
            </w:tblGrid>
            <w:tr w14:paraId="02522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6842" w:type="dxa"/>
                  <w:tcBorders>
                    <w:tl2br w:val="nil"/>
                    <w:tr2bl w:val="nil"/>
                  </w:tcBorders>
                  <w:vAlign w:val="center"/>
                </w:tcPr>
                <w:p w14:paraId="2EF272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供应商响应产品的技术服务及功能完全满足招标公告技术要求/需求的，得</w:t>
                  </w:r>
                  <w:r>
                    <w:rPr>
                      <w:rFonts w:hint="eastAsia" w:ascii="仿宋" w:hAnsi="仿宋" w:eastAsia="仿宋" w:cs="仿宋"/>
                      <w:szCs w:val="21"/>
                      <w:lang w:val="en-US" w:eastAsia="zh-CN"/>
                    </w:rPr>
                    <w:t>50</w:t>
                  </w:r>
                  <w:r>
                    <w:rPr>
                      <w:rFonts w:hint="eastAsia" w:ascii="仿宋" w:hAnsi="仿宋" w:eastAsia="仿宋" w:cs="仿宋"/>
                      <w:szCs w:val="21"/>
                      <w:lang w:eastAsia="zh-CN"/>
                    </w:rPr>
                    <w:t>分，供应商每有一条参数不响应扣X分</w:t>
                  </w:r>
                  <w:r>
                    <w:rPr>
                      <w:rFonts w:hint="eastAsia" w:ascii="仿宋" w:hAnsi="仿宋" w:eastAsia="仿宋" w:cs="仿宋"/>
                      <w:szCs w:val="21"/>
                      <w:lang w:val="en-US" w:eastAsia="zh-CN"/>
                    </w:rPr>
                    <w:t>，</w:t>
                  </w:r>
                  <w:r>
                    <w:rPr>
                      <w:rFonts w:hint="eastAsia" w:ascii="仿宋" w:hAnsi="仿宋" w:eastAsia="仿宋" w:cs="仿宋"/>
                      <w:szCs w:val="21"/>
                      <w:lang w:eastAsia="zh-CN"/>
                    </w:rPr>
                    <w:t>分数扣完为止。技术和功能响应未描述或未提供相应支撑材料的，对应项不得分。（</w:t>
                  </w:r>
                  <w:r>
                    <w:rPr>
                      <w:rFonts w:hint="eastAsia" w:ascii="仿宋" w:hAnsi="仿宋" w:eastAsia="仿宋" w:cs="仿宋"/>
                      <w:szCs w:val="21"/>
                      <w:lang w:val="en-US" w:eastAsia="zh-CN"/>
                    </w:rPr>
                    <w:t>每项目具体扣分值已注明于附件技术参数中</w:t>
                  </w:r>
                  <w:r>
                    <w:rPr>
                      <w:rFonts w:hint="eastAsia" w:ascii="仿宋" w:hAnsi="仿宋" w:eastAsia="仿宋" w:cs="仿宋"/>
                      <w:szCs w:val="21"/>
                      <w:lang w:eastAsia="zh-CN"/>
                    </w:rPr>
                    <w:t>）</w:t>
                  </w:r>
                </w:p>
              </w:tc>
            </w:tr>
          </w:tbl>
          <w:p w14:paraId="509E2C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p>
        </w:tc>
      </w:tr>
      <w:tr w14:paraId="73542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5999B4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lang w:val="en-US" w:eastAsia="zh-CN"/>
              </w:rPr>
              <w:t>交</w:t>
            </w:r>
            <w:r>
              <w:rPr>
                <w:rFonts w:hint="eastAsia" w:ascii="楷体" w:hAnsi="楷体" w:eastAsia="楷体" w:cs="楷体"/>
                <w:color w:val="000000"/>
                <w:sz w:val="21"/>
                <w:szCs w:val="21"/>
              </w:rPr>
              <w:t>货期</w:t>
            </w:r>
          </w:p>
          <w:p w14:paraId="3DCE1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1</w:t>
            </w:r>
            <w:r>
              <w:rPr>
                <w:rFonts w:hint="eastAsia" w:ascii="楷体" w:hAnsi="楷体" w:eastAsia="楷体" w:cs="楷体"/>
                <w:color w:val="000000"/>
                <w:sz w:val="21"/>
                <w:szCs w:val="21"/>
              </w:rPr>
              <w:t>分）</w:t>
            </w:r>
          </w:p>
        </w:tc>
        <w:tc>
          <w:tcPr>
            <w:tcW w:w="6807" w:type="dxa"/>
            <w:tcBorders>
              <w:tl2br w:val="nil"/>
              <w:tr2bl w:val="nil"/>
            </w:tcBorders>
            <w:vAlign w:val="center"/>
          </w:tcPr>
          <w:p w14:paraId="79B85A9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根据投标文件对商务指标</w:t>
            </w:r>
            <w:r>
              <w:rPr>
                <w:rFonts w:hint="eastAsia" w:ascii="仿宋" w:hAnsi="仿宋" w:eastAsia="仿宋" w:cs="仿宋"/>
                <w:szCs w:val="21"/>
                <w:lang w:val="en-US" w:eastAsia="zh-CN"/>
              </w:rPr>
              <w:t>中交货期的</w:t>
            </w:r>
            <w:r>
              <w:rPr>
                <w:rFonts w:hint="eastAsia" w:ascii="仿宋" w:hAnsi="仿宋" w:eastAsia="仿宋" w:cs="仿宋"/>
                <w:szCs w:val="21"/>
                <w:lang w:eastAsia="zh-CN"/>
              </w:rPr>
              <w:t>响应程度进行评分，</w:t>
            </w:r>
            <w:r>
              <w:rPr>
                <w:rFonts w:hint="eastAsia" w:ascii="仿宋" w:hAnsi="仿宋" w:eastAsia="仿宋" w:cs="仿宋"/>
                <w:szCs w:val="21"/>
                <w:lang w:val="en-US" w:eastAsia="zh-CN"/>
              </w:rPr>
              <w:t>满足要求得1分，</w:t>
            </w:r>
            <w:r>
              <w:rPr>
                <w:rFonts w:hint="eastAsia" w:ascii="仿宋" w:hAnsi="仿宋" w:eastAsia="仿宋" w:cs="仿宋"/>
                <w:szCs w:val="21"/>
                <w:lang w:eastAsia="zh-CN"/>
              </w:rPr>
              <w:t>不满足不得分。</w:t>
            </w:r>
          </w:p>
        </w:tc>
      </w:tr>
      <w:tr w14:paraId="3B2D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63385C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质保期</w:t>
            </w:r>
          </w:p>
          <w:p w14:paraId="4AF891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14:paraId="23BE7A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质保</w:t>
            </w:r>
            <w:r>
              <w:rPr>
                <w:rFonts w:hint="eastAsia" w:ascii="仿宋" w:hAnsi="仿宋" w:eastAsia="仿宋" w:cs="仿宋"/>
                <w:szCs w:val="21"/>
                <w:lang w:val="en-US" w:eastAsia="zh-CN"/>
              </w:rPr>
              <w:t>4</w:t>
            </w:r>
            <w:r>
              <w:rPr>
                <w:rFonts w:hint="eastAsia" w:ascii="仿宋" w:hAnsi="仿宋" w:eastAsia="仿宋" w:cs="仿宋"/>
                <w:szCs w:val="21"/>
                <w:lang w:eastAsia="zh-CN"/>
              </w:rPr>
              <w:t>年得基础分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分，每增加一年（12个月，不足12个月的不计）加</w:t>
            </w:r>
            <w:r>
              <w:rPr>
                <w:rFonts w:hint="eastAsia" w:ascii="仿宋" w:hAnsi="仿宋" w:eastAsia="仿宋" w:cs="仿宋"/>
                <w:szCs w:val="21"/>
                <w:lang w:val="en-US" w:eastAsia="zh-CN"/>
              </w:rPr>
              <w:t>1</w:t>
            </w:r>
            <w:r>
              <w:rPr>
                <w:rFonts w:hint="eastAsia" w:ascii="仿宋" w:hAnsi="仿宋" w:eastAsia="仿宋" w:cs="仿宋"/>
                <w:szCs w:val="21"/>
                <w:lang w:eastAsia="zh-CN"/>
              </w:rPr>
              <w:t>分，</w:t>
            </w:r>
            <w:r>
              <w:rPr>
                <w:rFonts w:hint="eastAsia" w:ascii="仿宋" w:hAnsi="仿宋" w:eastAsia="仿宋" w:cs="仿宋"/>
                <w:szCs w:val="21"/>
                <w:lang w:val="en-US" w:eastAsia="zh-CN"/>
              </w:rPr>
              <w:t>加满为止</w:t>
            </w:r>
            <w:r>
              <w:rPr>
                <w:rFonts w:hint="eastAsia" w:ascii="仿宋" w:hAnsi="仿宋" w:eastAsia="仿宋" w:cs="仿宋"/>
                <w:szCs w:val="21"/>
                <w:lang w:eastAsia="zh-CN"/>
              </w:rPr>
              <w:t>。</w:t>
            </w:r>
          </w:p>
        </w:tc>
      </w:tr>
      <w:tr w14:paraId="1E76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208EC1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业绩</w:t>
            </w:r>
          </w:p>
          <w:p w14:paraId="3F1044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w:t>
            </w:r>
            <w:r>
              <w:rPr>
                <w:rFonts w:hint="eastAsia" w:ascii="楷体" w:hAnsi="楷体" w:eastAsia="楷体" w:cs="楷体"/>
                <w:color w:val="000000"/>
                <w:sz w:val="21"/>
                <w:szCs w:val="21"/>
                <w:lang w:val="en-US" w:eastAsia="zh-CN"/>
              </w:rPr>
              <w:t>3</w:t>
            </w:r>
            <w:r>
              <w:rPr>
                <w:rFonts w:hint="eastAsia" w:ascii="楷体" w:hAnsi="楷体" w:eastAsia="楷体" w:cs="楷体"/>
                <w:color w:val="000000"/>
                <w:sz w:val="21"/>
                <w:szCs w:val="21"/>
              </w:rPr>
              <w:t>分)</w:t>
            </w:r>
          </w:p>
        </w:tc>
        <w:tc>
          <w:tcPr>
            <w:tcW w:w="6807" w:type="dxa"/>
            <w:tcBorders>
              <w:tl2br w:val="nil"/>
              <w:tr2bl w:val="nil"/>
            </w:tcBorders>
            <w:vAlign w:val="center"/>
          </w:tcPr>
          <w:p w14:paraId="6BD27A3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eastAsia="zh-CN"/>
              </w:rPr>
            </w:pPr>
            <w:r>
              <w:rPr>
                <w:rFonts w:hint="eastAsia" w:ascii="仿宋" w:hAnsi="仿宋" w:eastAsia="仿宋" w:cs="仿宋"/>
                <w:szCs w:val="21"/>
                <w:lang w:eastAsia="zh-CN"/>
              </w:rPr>
              <w:t>202</w:t>
            </w:r>
            <w:r>
              <w:rPr>
                <w:rFonts w:hint="eastAsia" w:ascii="仿宋" w:hAnsi="仿宋" w:eastAsia="仿宋" w:cs="仿宋"/>
                <w:szCs w:val="21"/>
                <w:lang w:val="en-US" w:eastAsia="zh-CN"/>
              </w:rPr>
              <w:t>3</w:t>
            </w:r>
            <w:r>
              <w:rPr>
                <w:rFonts w:hint="eastAsia" w:ascii="仿宋" w:hAnsi="仿宋" w:eastAsia="仿宋" w:cs="仿宋"/>
                <w:szCs w:val="21"/>
                <w:lang w:eastAsia="zh-CN"/>
              </w:rPr>
              <w:t>年至今</w:t>
            </w:r>
            <w:r>
              <w:rPr>
                <w:rFonts w:hint="eastAsia" w:ascii="仿宋" w:hAnsi="仿宋" w:eastAsia="仿宋" w:cs="仿宋"/>
                <w:szCs w:val="21"/>
                <w:lang w:val="en-US" w:eastAsia="zh-CN"/>
              </w:rPr>
              <w:t>投标产品</w:t>
            </w:r>
            <w:r>
              <w:rPr>
                <w:rFonts w:hint="eastAsia" w:ascii="仿宋" w:hAnsi="仿宋" w:eastAsia="仿宋" w:cs="仿宋"/>
                <w:szCs w:val="21"/>
                <w:lang w:eastAsia="zh-CN"/>
              </w:rPr>
              <w:t>的业绩，提供</w:t>
            </w:r>
            <w:r>
              <w:rPr>
                <w:rFonts w:hint="eastAsia" w:ascii="仿宋" w:hAnsi="仿宋" w:eastAsia="仿宋" w:cs="仿宋"/>
                <w:szCs w:val="21"/>
                <w:lang w:val="en-US" w:eastAsia="zh-CN"/>
              </w:rPr>
              <w:t>1</w:t>
            </w:r>
            <w:r>
              <w:rPr>
                <w:rFonts w:hint="eastAsia" w:ascii="仿宋" w:hAnsi="仿宋" w:eastAsia="仿宋" w:cs="仿宋"/>
                <w:szCs w:val="21"/>
                <w:lang w:eastAsia="zh-CN"/>
              </w:rPr>
              <w:t>个得基础分</w:t>
            </w:r>
            <w:r>
              <w:rPr>
                <w:rFonts w:hint="eastAsia" w:ascii="仿宋" w:hAnsi="仿宋" w:eastAsia="仿宋" w:cs="仿宋"/>
                <w:szCs w:val="21"/>
                <w:lang w:val="en-US" w:eastAsia="zh-CN"/>
              </w:rPr>
              <w:t>1</w:t>
            </w:r>
            <w:r>
              <w:rPr>
                <w:rFonts w:hint="eastAsia" w:ascii="仿宋" w:hAnsi="仿宋" w:eastAsia="仿宋" w:cs="仿宋"/>
                <w:szCs w:val="21"/>
                <w:lang w:eastAsia="zh-CN"/>
              </w:rPr>
              <w:t>分，每增加一个得</w:t>
            </w:r>
            <w:r>
              <w:rPr>
                <w:rFonts w:hint="eastAsia" w:ascii="仿宋" w:hAnsi="仿宋" w:eastAsia="仿宋" w:cs="仿宋"/>
                <w:szCs w:val="21"/>
                <w:lang w:val="en-US" w:eastAsia="zh-CN"/>
              </w:rPr>
              <w:t>1</w:t>
            </w:r>
            <w:r>
              <w:rPr>
                <w:rFonts w:hint="eastAsia" w:ascii="仿宋" w:hAnsi="仿宋" w:eastAsia="仿宋" w:cs="仿宋"/>
                <w:szCs w:val="21"/>
                <w:lang w:eastAsia="zh-CN"/>
              </w:rPr>
              <w:t>分，满分</w:t>
            </w:r>
            <w:r>
              <w:rPr>
                <w:rFonts w:hint="eastAsia" w:ascii="仿宋" w:hAnsi="仿宋" w:eastAsia="仿宋" w:cs="仿宋"/>
                <w:szCs w:val="21"/>
                <w:lang w:val="en-US" w:eastAsia="zh-CN"/>
              </w:rPr>
              <w:t>3</w:t>
            </w:r>
            <w:r>
              <w:rPr>
                <w:rFonts w:hint="eastAsia" w:ascii="仿宋" w:hAnsi="仿宋" w:eastAsia="仿宋" w:cs="仿宋"/>
                <w:szCs w:val="21"/>
                <w:lang w:eastAsia="zh-CN"/>
              </w:rPr>
              <w:t>分。（</w:t>
            </w:r>
            <w:r>
              <w:rPr>
                <w:rFonts w:hint="eastAsia" w:ascii="仿宋" w:hAnsi="仿宋" w:eastAsia="仿宋" w:cs="仿宋"/>
                <w:szCs w:val="21"/>
                <w:lang w:val="en-US" w:eastAsia="zh-CN"/>
              </w:rPr>
              <w:t>以</w:t>
            </w:r>
            <w:r>
              <w:rPr>
                <w:rFonts w:hint="eastAsia" w:ascii="仿宋" w:hAnsi="仿宋" w:eastAsia="仿宋" w:cs="仿宋"/>
                <w:szCs w:val="21"/>
                <w:lang w:eastAsia="zh-CN"/>
              </w:rPr>
              <w:t>202</w:t>
            </w:r>
            <w:r>
              <w:rPr>
                <w:rFonts w:hint="eastAsia" w:ascii="仿宋" w:hAnsi="仿宋" w:eastAsia="仿宋" w:cs="仿宋"/>
                <w:szCs w:val="21"/>
                <w:lang w:val="en-US" w:eastAsia="zh-CN"/>
              </w:rPr>
              <w:t>3</w:t>
            </w:r>
            <w:r>
              <w:rPr>
                <w:rFonts w:hint="eastAsia" w:ascii="仿宋" w:hAnsi="仿宋" w:eastAsia="仿宋" w:cs="仿宋"/>
                <w:szCs w:val="21"/>
                <w:lang w:eastAsia="zh-CN"/>
              </w:rPr>
              <w:t>年至今签订合同</w:t>
            </w:r>
            <w:r>
              <w:rPr>
                <w:rFonts w:hint="eastAsia" w:ascii="仿宋" w:hAnsi="仿宋" w:eastAsia="仿宋" w:cs="仿宋"/>
                <w:szCs w:val="21"/>
                <w:lang w:val="en-US" w:eastAsia="zh-CN"/>
              </w:rPr>
              <w:t>或发票或中标通知书等能证明业绩的复印件作为证明材料，加盖公章</w:t>
            </w:r>
            <w:r>
              <w:rPr>
                <w:rFonts w:hint="eastAsia" w:ascii="仿宋" w:hAnsi="仿宋" w:eastAsia="仿宋" w:cs="仿宋"/>
                <w:szCs w:val="21"/>
                <w:lang w:eastAsia="zh-CN"/>
              </w:rPr>
              <w:t>）</w:t>
            </w:r>
          </w:p>
        </w:tc>
      </w:tr>
      <w:tr w14:paraId="0F3EE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7" w:type="dxa"/>
            <w:tcBorders>
              <w:tl2br w:val="nil"/>
              <w:tr2bl w:val="nil"/>
            </w:tcBorders>
            <w:vAlign w:val="center"/>
          </w:tcPr>
          <w:p w14:paraId="6EBEB1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投标报价</w:t>
            </w:r>
          </w:p>
          <w:p w14:paraId="5B4E74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 w:hAnsi="楷体" w:eastAsia="楷体" w:cs="楷体"/>
                <w:color w:val="000000"/>
                <w:sz w:val="21"/>
                <w:szCs w:val="21"/>
              </w:rPr>
            </w:pPr>
            <w:r>
              <w:rPr>
                <w:rFonts w:hint="eastAsia" w:ascii="楷体" w:hAnsi="楷体" w:eastAsia="楷体" w:cs="楷体"/>
                <w:color w:val="000000"/>
                <w:sz w:val="21"/>
                <w:szCs w:val="21"/>
              </w:rPr>
              <w:t>（满分30分）</w:t>
            </w:r>
          </w:p>
        </w:tc>
        <w:tc>
          <w:tcPr>
            <w:tcW w:w="6807" w:type="dxa"/>
            <w:tcBorders>
              <w:tl2br w:val="nil"/>
              <w:tr2bl w:val="nil"/>
            </w:tcBorders>
            <w:vAlign w:val="center"/>
          </w:tcPr>
          <w:p w14:paraId="6011D90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Cs w:val="21"/>
                <w:lang w:val="en-US" w:eastAsia="zh-CN"/>
              </w:rPr>
            </w:pPr>
            <w:r>
              <w:rPr>
                <w:rFonts w:hint="eastAsia" w:ascii="仿宋" w:hAnsi="仿宋" w:eastAsia="仿宋" w:cs="仿宋"/>
                <w:szCs w:val="21"/>
                <w:lang w:val="en-US" w:eastAsia="zh-CN"/>
              </w:rPr>
              <w:t>投标报价得分=（评标基准价/投标报价）*30</w:t>
            </w:r>
          </w:p>
          <w:p w14:paraId="4E0BC74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szCs w:val="21"/>
                <w:lang w:val="en-US" w:eastAsia="zh-CN"/>
              </w:rPr>
            </w:pPr>
            <w:r>
              <w:rPr>
                <w:rFonts w:hint="default" w:ascii="仿宋" w:hAnsi="仿宋" w:eastAsia="仿宋" w:cs="仿宋"/>
                <w:szCs w:val="21"/>
                <w:lang w:val="en-US" w:eastAsia="zh-CN"/>
              </w:rPr>
              <w:t>评标基准价即经符合性评审合格且投标价格最低的投标报价</w:t>
            </w:r>
          </w:p>
        </w:tc>
      </w:tr>
    </w:tbl>
    <w:p w14:paraId="7E5A7D0C">
      <w:pPr>
        <w:keepNext w:val="0"/>
        <w:keepLines w:val="0"/>
        <w:pageBreakBefore w:val="0"/>
        <w:widowControl w:val="0"/>
        <w:kinsoku/>
        <w:wordWrap/>
        <w:overflowPunct/>
        <w:topLinePunct w:val="0"/>
        <w:autoSpaceDE/>
        <w:autoSpaceDN/>
        <w:bidi w:val="0"/>
        <w:adjustRightInd/>
        <w:snapToGrid/>
        <w:spacing w:before="100" w:beforeAutospacing="1" w:after="100" w:afterAutospacing="1"/>
        <w:ind w:firstLine="422" w:firstLineChars="200"/>
        <w:jc w:val="left"/>
        <w:textAlignment w:val="auto"/>
        <w:rPr>
          <w:rFonts w:hint="eastAsia" w:ascii="楷体" w:hAnsi="楷体" w:eastAsia="楷体" w:cs="楷体"/>
          <w:b/>
          <w:bCs/>
          <w:sz w:val="28"/>
          <w:szCs w:val="28"/>
        </w:rPr>
      </w:pPr>
      <w:r>
        <w:rPr>
          <w:rFonts w:hint="eastAsia" w:ascii="仿宋" w:hAnsi="仿宋" w:eastAsia="仿宋" w:cs="仿宋"/>
          <w:b/>
          <w:szCs w:val="21"/>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Start w:id="9" w:name="_GoBack"/>
      <w:bookmarkEnd w:id="9"/>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513A0"/>
    <w:rsid w:val="0D5513A0"/>
    <w:rsid w:val="102E3DB9"/>
    <w:rsid w:val="15D55597"/>
    <w:rsid w:val="172F5A1F"/>
    <w:rsid w:val="1E5E441A"/>
    <w:rsid w:val="25961EB9"/>
    <w:rsid w:val="2B0C2172"/>
    <w:rsid w:val="3BC4253C"/>
    <w:rsid w:val="3DA301A8"/>
    <w:rsid w:val="44A83EA2"/>
    <w:rsid w:val="4A7B537E"/>
    <w:rsid w:val="4AE836C7"/>
    <w:rsid w:val="549F610D"/>
    <w:rsid w:val="59FB3706"/>
    <w:rsid w:val="73FB4CB6"/>
    <w:rsid w:val="77274014"/>
    <w:rsid w:val="7A687F0C"/>
    <w:rsid w:val="7B136D89"/>
    <w:rsid w:val="7F601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Calibri" w:hAnsi="Calibri" w:eastAsia="宋体" w:cs="Times New Roman"/>
      <w:szCs w:val="22"/>
    </w:rPr>
  </w:style>
  <w:style w:type="paragraph" w:styleId="3">
    <w:name w:val="Body Text"/>
    <w:basedOn w:val="1"/>
    <w:next w:val="4"/>
    <w:qFormat/>
    <w:uiPriority w:val="0"/>
    <w:pPr>
      <w:spacing w:after="120"/>
    </w:pPr>
  </w:style>
  <w:style w:type="paragraph" w:customStyle="1" w:styleId="4">
    <w:name w:val="style4"/>
    <w:basedOn w:val="5"/>
    <w:next w:val="6"/>
    <w:qFormat/>
    <w:uiPriority w:val="0"/>
    <w:pPr>
      <w:spacing w:before="100" w:beforeAutospacing="1" w:after="100" w:afterAutospacing="1"/>
      <w:jc w:val="left"/>
    </w:pPr>
    <w:rPr>
      <w:rFonts w:ascii="宋体" w:hAnsi="宋体" w:cs="宋体"/>
      <w:kern w:val="0"/>
      <w:sz w:val="18"/>
      <w:szCs w:val="18"/>
    </w:rPr>
  </w:style>
  <w:style w:type="paragraph" w:customStyle="1" w:styleId="5">
    <w:name w:val="正文1"/>
    <w:next w:val="2"/>
    <w:qFormat/>
    <w:uiPriority w:val="0"/>
    <w:pPr>
      <w:jc w:val="both"/>
    </w:pPr>
    <w:rPr>
      <w:rFonts w:ascii="Times New Roman" w:hAnsi="Times New Roman" w:eastAsia="宋体" w:cs="Times New Roman"/>
      <w:kern w:val="2"/>
      <w:sz w:val="21"/>
      <w:szCs w:val="21"/>
      <w:lang w:val="en-US" w:eastAsia="zh-CN" w:bidi="ar-SA"/>
    </w:rPr>
  </w:style>
  <w:style w:type="paragraph" w:customStyle="1" w:styleId="6">
    <w:name w:val="2"/>
    <w:basedOn w:val="1"/>
    <w:next w:val="1"/>
    <w:qFormat/>
    <w:uiPriority w:val="0"/>
    <w:pPr>
      <w:spacing w:line="360" w:lineRule="auto"/>
    </w:pPr>
    <w:rPr>
      <w:rFonts w:ascii="Times New Roman" w:hAnsi="Times New Roman" w:eastAsia="仿宋_GB2312"/>
      <w:sz w:val="28"/>
      <w:szCs w:val="28"/>
    </w:rPr>
  </w:style>
  <w:style w:type="paragraph" w:styleId="7">
    <w:name w:val="Normal Indent"/>
    <w:basedOn w:val="1"/>
    <w:qFormat/>
    <w:uiPriority w:val="0"/>
    <w:pPr>
      <w:widowControl w:val="0"/>
      <w:spacing w:after="0" w:line="360" w:lineRule="auto"/>
      <w:ind w:firstLine="420"/>
      <w:jc w:val="both"/>
    </w:pPr>
    <w:rPr>
      <w:rFonts w:ascii="Times New Roman" w:hAnsi="Times New Roman" w:eastAsia="宋体" w:cs="Times New Roman"/>
      <w:kern w:val="2"/>
      <w:sz w:val="24"/>
      <w:szCs w:val="20"/>
    </w:rPr>
  </w:style>
  <w:style w:type="paragraph" w:styleId="8">
    <w:name w:val="Plain Text"/>
    <w:basedOn w:val="1"/>
    <w:qFormat/>
    <w:uiPriority w:val="0"/>
    <w:rPr>
      <w:rFonts w:ascii="宋体"/>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2741</Words>
  <Characters>2834</Characters>
  <Lines>0</Lines>
  <Paragraphs>0</Paragraphs>
  <TotalTime>11</TotalTime>
  <ScaleCrop>false</ScaleCrop>
  <LinksUpToDate>false</LinksUpToDate>
  <CharactersWithSpaces>2853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2025-06-16T03:40:00Z</dcterms:created>
  <dc:creator>Administrator</dc:creator>
  <cp:lastModifiedBy>吴怡</cp:lastModifiedBy>
  <dcterms:modified xsi:type="dcterms:W3CDTF">2026-04-03T09:35:45Z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46310E86A9804DEDAACD356EE0DEB140</vt:lpwstr>
  </property>
  <property fmtid="{D5CDD505-2E9C-101B-9397-08002B2CF9AE}" pid="4" name="KSOTemplateDocerSaveRecord">
    <vt:lpwstr>eyJoZGlkIjoiMWY3MjliM2ZjZjFkYzVmNDQwYzA5ZTZmZGNhMmYwZDgiLCJ1c2VySWQiOiIxNzcxNzk1NjcxIn0=</vt:lpwstr>
  </property>
</Properties>
</file>