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2344">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14:paraId="67C06833">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14:paraId="05A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14:paraId="5B444D15">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1F46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14:paraId="5E18BF9B">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14:paraId="58DB64F5">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14:paraId="0BCF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14:paraId="23559382">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14:paraId="75F384F4">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14:paraId="553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75E276B">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14:paraId="106B0E5E">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14:paraId="42B050A6">
            <w:pPr>
              <w:spacing w:line="260" w:lineRule="exact"/>
              <w:jc w:val="left"/>
              <w:rPr>
                <w:rFonts w:hint="eastAsia" w:ascii="仿宋" w:hAnsi="仿宋" w:eastAsia="仿宋" w:cs="仿宋"/>
                <w:szCs w:val="21"/>
              </w:rPr>
            </w:pPr>
            <w:r>
              <w:rPr>
                <w:rFonts w:hint="eastAsia" w:ascii="仿宋" w:hAnsi="仿宋" w:eastAsia="仿宋" w:cs="仿宋"/>
                <w:szCs w:val="21"/>
              </w:rPr>
              <w:t>1）202</w:t>
            </w:r>
            <w:r>
              <w:rPr>
                <w:rFonts w:hint="eastAsia" w:ascii="仿宋" w:hAnsi="仿宋" w:eastAsia="仿宋" w:cs="仿宋"/>
                <w:szCs w:val="21"/>
                <w:lang w:val="en-US" w:eastAsia="zh-CN"/>
              </w:rPr>
              <w:t>3</w:t>
            </w:r>
            <w:r>
              <w:rPr>
                <w:rFonts w:hint="eastAsia" w:ascii="仿宋" w:hAnsi="仿宋" w:eastAsia="仿宋" w:cs="仿宋"/>
                <w:szCs w:val="21"/>
              </w:rPr>
              <w:t>年-202</w:t>
            </w:r>
            <w:r>
              <w:rPr>
                <w:rFonts w:hint="eastAsia" w:ascii="仿宋" w:hAnsi="仿宋" w:eastAsia="仿宋" w:cs="仿宋"/>
                <w:szCs w:val="21"/>
                <w:lang w:val="en-US" w:eastAsia="zh-CN"/>
              </w:rPr>
              <w:t>5</w:t>
            </w:r>
            <w:r>
              <w:rPr>
                <w:rFonts w:hint="eastAsia" w:ascii="仿宋" w:hAnsi="仿宋" w:eastAsia="仿宋" w:cs="仿宋"/>
                <w:szCs w:val="21"/>
              </w:rPr>
              <w:t>年任意一年度经审计的财务审计报告，包括财务审计报告及“四表一注”，“四表一注”即资产负债表、利润表、现金流量表、所有者权益变动表及其附注（扫描件加盖电子公章）；</w:t>
            </w:r>
          </w:p>
          <w:p w14:paraId="543F9E3C">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14:paraId="288DA0CB">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14:paraId="5AF3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14:paraId="64BA8775">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14:paraId="3E4BF145">
            <w:pPr>
              <w:spacing w:before="100" w:beforeAutospacing="1" w:after="100" w:afterAutospacing="1" w:line="260" w:lineRule="exact"/>
              <w:jc w:val="left"/>
              <w:rPr>
                <w:rFonts w:hint="eastAsia" w:ascii="仿宋" w:hAnsi="仿宋" w:eastAsia="仿宋" w:cs="仿宋"/>
                <w:szCs w:val="21"/>
              </w:rPr>
            </w:pPr>
            <w:bookmarkStart w:id="2" w:name="OLE_LINK9"/>
            <w:bookmarkStart w:id="3" w:name="OLE_LINK10"/>
            <w:r>
              <w:rPr>
                <w:rFonts w:hint="eastAsia" w:ascii="仿宋" w:hAnsi="仿宋" w:eastAsia="仿宋" w:cs="仿宋"/>
                <w:szCs w:val="21"/>
              </w:rPr>
              <w:t>投标人须提供具备履行合同所必需的设备和专业技术能力的证明材料</w:t>
            </w:r>
            <w:bookmarkEnd w:id="2"/>
            <w:bookmarkEnd w:id="3"/>
          </w:p>
        </w:tc>
      </w:tr>
      <w:bookmarkEnd w:id="0"/>
      <w:tr w14:paraId="29FD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230C9E3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14:paraId="6362DC39">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w:t>
            </w:r>
            <w:r>
              <w:rPr>
                <w:rFonts w:hint="eastAsia" w:ascii="仿宋" w:hAnsi="仿宋" w:eastAsia="仿宋" w:cs="仿宋"/>
                <w:b/>
                <w:szCs w:val="21"/>
                <w:lang w:val="en-US" w:eastAsia="zh-CN"/>
              </w:rPr>
              <w:t>4</w:t>
            </w:r>
            <w:bookmarkStart w:id="9" w:name="_GoBack"/>
            <w:bookmarkEnd w:id="9"/>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14:paraId="7C1D3A61">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14:paraId="51386365">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14:paraId="75F60EE7">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14:paraId="3E28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B78486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14:paraId="7E19E128">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14:paraId="2653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14:paraId="0AB59451">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14:paraId="77BEBBBC">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14:paraId="66FF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14:paraId="5F312043">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14:paraId="604A08CB">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14:paraId="13F0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5835ACD6">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14:paraId="54D88016">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14:paraId="469E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14:paraId="5E9FE947">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14:paraId="5F3B925C">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14:paraId="74C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14:paraId="65A6F1BF">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14:paraId="42F2A57C">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14:paraId="47F1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14:paraId="669918BC">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14:paraId="1F08F671">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14:paraId="1379D230">
      <w:pPr>
        <w:rPr>
          <w:rFonts w:hint="eastAsia" w:ascii="楷体" w:hAnsi="楷体" w:eastAsia="楷体" w:cs="楷体"/>
          <w:b/>
          <w:bCs/>
          <w:sz w:val="28"/>
          <w:szCs w:val="28"/>
        </w:rPr>
      </w:pPr>
      <w:r>
        <w:rPr>
          <w:rFonts w:hint="eastAsia" w:ascii="楷体" w:hAnsi="楷体" w:eastAsia="楷体" w:cs="楷体"/>
          <w:b/>
          <w:bCs/>
          <w:sz w:val="28"/>
          <w:szCs w:val="28"/>
        </w:rPr>
        <w:br w:type="page"/>
      </w:r>
    </w:p>
    <w:p w14:paraId="7C856827">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14:paraId="5D9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14:paraId="0ED6CAC3">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14:paraId="6C6DD98E">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76C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14:paraId="76018D61">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14:paraId="03F19572">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14:paraId="7D20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14:paraId="3F2A5D0B">
            <w:pPr>
              <w:spacing w:before="100" w:beforeAutospacing="1" w:after="100" w:afterAutospacing="1"/>
              <w:rPr>
                <w:rFonts w:hint="eastAsia" w:ascii="仿宋" w:hAnsi="仿宋" w:eastAsia="仿宋" w:cs="仿宋"/>
                <w:szCs w:val="21"/>
              </w:rPr>
            </w:pPr>
          </w:p>
        </w:tc>
        <w:tc>
          <w:tcPr>
            <w:tcW w:w="2245" w:type="dxa"/>
            <w:noWrap w:val="0"/>
            <w:vAlign w:val="center"/>
          </w:tcPr>
          <w:p w14:paraId="536B6F17">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14:paraId="4938CDBB">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14:paraId="4871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14:paraId="36AAC72C">
            <w:pPr>
              <w:spacing w:before="100" w:beforeAutospacing="1" w:after="100" w:afterAutospacing="1"/>
              <w:rPr>
                <w:rFonts w:hint="eastAsia" w:ascii="仿宋" w:hAnsi="仿宋" w:eastAsia="仿宋" w:cs="仿宋"/>
                <w:szCs w:val="21"/>
              </w:rPr>
            </w:pPr>
          </w:p>
        </w:tc>
        <w:tc>
          <w:tcPr>
            <w:tcW w:w="2245" w:type="dxa"/>
            <w:noWrap w:val="0"/>
            <w:vAlign w:val="center"/>
          </w:tcPr>
          <w:p w14:paraId="27D5FDF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14:paraId="77616790">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14:paraId="5F99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2776AEB3">
            <w:pPr>
              <w:spacing w:before="100" w:beforeAutospacing="1" w:after="100" w:afterAutospacing="1"/>
              <w:rPr>
                <w:rFonts w:hint="eastAsia" w:ascii="仿宋" w:hAnsi="仿宋" w:eastAsia="仿宋" w:cs="仿宋"/>
                <w:szCs w:val="21"/>
              </w:rPr>
            </w:pPr>
          </w:p>
        </w:tc>
        <w:tc>
          <w:tcPr>
            <w:tcW w:w="2245" w:type="dxa"/>
            <w:noWrap w:val="0"/>
            <w:vAlign w:val="center"/>
          </w:tcPr>
          <w:p w14:paraId="6210359C">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14:paraId="25978EE5">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14:paraId="27AB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14:paraId="50FCDB86">
            <w:pPr>
              <w:spacing w:before="100" w:beforeAutospacing="1" w:after="100" w:afterAutospacing="1"/>
              <w:rPr>
                <w:rFonts w:hint="eastAsia" w:ascii="仿宋" w:hAnsi="仿宋" w:eastAsia="仿宋" w:cs="仿宋"/>
                <w:szCs w:val="21"/>
              </w:rPr>
            </w:pPr>
          </w:p>
        </w:tc>
        <w:tc>
          <w:tcPr>
            <w:tcW w:w="2245" w:type="dxa"/>
            <w:noWrap w:val="0"/>
            <w:vAlign w:val="center"/>
          </w:tcPr>
          <w:p w14:paraId="28F97DF4">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14:paraId="4B94EF4A">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14:paraId="6B8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14:paraId="55149BA9">
            <w:pPr>
              <w:spacing w:before="100" w:beforeAutospacing="1" w:after="100" w:afterAutospacing="1"/>
              <w:rPr>
                <w:rFonts w:hint="eastAsia" w:ascii="仿宋" w:hAnsi="仿宋" w:eastAsia="仿宋" w:cs="仿宋"/>
                <w:szCs w:val="21"/>
              </w:rPr>
            </w:pPr>
          </w:p>
        </w:tc>
        <w:tc>
          <w:tcPr>
            <w:tcW w:w="2245" w:type="dxa"/>
            <w:noWrap w:val="0"/>
            <w:vAlign w:val="center"/>
          </w:tcPr>
          <w:p w14:paraId="5F086F90">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14:paraId="40F86A46">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w:t>
            </w:r>
            <w:r>
              <w:rPr>
                <w:rFonts w:hint="eastAsia" w:ascii="仿宋" w:hAnsi="仿宋" w:eastAsia="仿宋" w:cs="仿宋"/>
                <w:szCs w:val="21"/>
                <w:lang w:val="en-US" w:eastAsia="zh-CN"/>
              </w:rPr>
              <w:t>实质性</w:t>
            </w:r>
            <w:r>
              <w:rPr>
                <w:rFonts w:hint="eastAsia" w:ascii="仿宋" w:hAnsi="仿宋" w:eastAsia="仿宋" w:cs="仿宋"/>
                <w:szCs w:val="21"/>
              </w:rPr>
              <w:t>条款内容的；</w:t>
            </w:r>
          </w:p>
        </w:tc>
      </w:tr>
      <w:tr w14:paraId="669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03952F7A">
            <w:pPr>
              <w:spacing w:before="100" w:beforeAutospacing="1" w:after="100" w:afterAutospacing="1"/>
              <w:rPr>
                <w:rFonts w:hint="eastAsia" w:ascii="仿宋" w:hAnsi="仿宋" w:eastAsia="仿宋" w:cs="仿宋"/>
                <w:szCs w:val="21"/>
              </w:rPr>
            </w:pPr>
          </w:p>
        </w:tc>
        <w:tc>
          <w:tcPr>
            <w:tcW w:w="2245" w:type="dxa"/>
            <w:noWrap w:val="0"/>
            <w:vAlign w:val="center"/>
          </w:tcPr>
          <w:p w14:paraId="51B472B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14:paraId="75E267B9">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r w14:paraId="6B06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10" w:type="dxa"/>
            <w:gridSpan w:val="3"/>
            <w:noWrap w:val="0"/>
            <w:vAlign w:val="center"/>
          </w:tcPr>
          <w:p w14:paraId="50C5DA5B">
            <w:pPr>
              <w:spacing w:before="100" w:beforeAutospacing="1" w:after="100" w:afterAutospacing="1"/>
              <w:jc w:val="left"/>
              <w:rPr>
                <w:rFonts w:hint="eastAsia" w:ascii="仿宋" w:hAnsi="仿宋" w:eastAsia="仿宋" w:cs="仿宋"/>
                <w:szCs w:val="21"/>
                <w:lang w:eastAsia="zh-CN"/>
              </w:rPr>
            </w:pPr>
            <w:bookmarkStart w:id="7" w:name="OLE_LINK7"/>
            <w:r>
              <w:rPr>
                <w:rFonts w:hint="eastAsia" w:ascii="仿宋" w:hAnsi="仿宋" w:eastAsia="仿宋" w:cs="仿宋"/>
                <w:szCs w:val="21"/>
              </w:rPr>
              <w:t>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技术指标高优先、质保期长优先、交货时间短优先、故障到达时间短优先的顺序确定一个投标人获得中标人推荐资格，其他同品牌投标人不作为中标候选人</w:t>
            </w:r>
            <w:r>
              <w:rPr>
                <w:rFonts w:hint="eastAsia" w:ascii="仿宋" w:hAnsi="仿宋" w:eastAsia="仿宋" w:cs="仿宋"/>
                <w:szCs w:val="21"/>
                <w:lang w:eastAsia="zh-CN"/>
              </w:rPr>
              <w:t>。</w:t>
            </w:r>
          </w:p>
        </w:tc>
      </w:tr>
    </w:tbl>
    <w:p w14:paraId="55D3EB64">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14:paraId="3A3CAF5C">
      <w:bookmarkStart w:id="8" w:name="OLE_LINK6" w:colFirst="0" w:colLast="1"/>
    </w:p>
    <w:p w14:paraId="100A4C5F">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14:paraId="5236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14:paraId="020D0406">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14:paraId="6D95E8C1">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14:paraId="7EE0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9E0EA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14:paraId="4A475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13</w:t>
            </w:r>
            <w:r>
              <w:rPr>
                <w:rFonts w:hint="eastAsia" w:ascii="楷体" w:hAnsi="楷体" w:eastAsia="楷体" w:cs="楷体"/>
                <w:color w:val="000000"/>
                <w:sz w:val="21"/>
                <w:szCs w:val="21"/>
              </w:rPr>
              <w:t>分）</w:t>
            </w:r>
          </w:p>
        </w:tc>
        <w:tc>
          <w:tcPr>
            <w:tcW w:w="6807" w:type="dxa"/>
            <w:tcBorders>
              <w:tl2br w:val="nil"/>
              <w:tr2bl w:val="nil"/>
            </w:tcBorders>
            <w:vAlign w:val="center"/>
          </w:tcPr>
          <w:p w14:paraId="2ED526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10-13</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14:paraId="656154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5-9</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14:paraId="7C284E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0-4</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14:paraId="6BC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862C0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14:paraId="4433F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14:paraId="0252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42" w:type="dxa"/>
                  <w:tcBorders>
                    <w:tl2br w:val="nil"/>
                    <w:tr2bl w:val="nil"/>
                  </w:tcBorders>
                  <w:vAlign w:val="center"/>
                </w:tcPr>
                <w:p w14:paraId="2EF272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分，供应商每有一条参数不响应扣X分</w:t>
                  </w:r>
                  <w:r>
                    <w:rPr>
                      <w:rFonts w:hint="eastAsia" w:ascii="仿宋" w:hAnsi="仿宋" w:eastAsia="仿宋" w:cs="仿宋"/>
                      <w:szCs w:val="21"/>
                      <w:lang w:val="en-US" w:eastAsia="zh-CN"/>
                    </w:rPr>
                    <w:t>，</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14:paraId="509E2C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14:paraId="735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5999B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14:paraId="3DCE1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14:paraId="79B85A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14:paraId="3B2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3385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质保期</w:t>
            </w:r>
          </w:p>
          <w:p w14:paraId="4AF89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23BE7A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质保</w:t>
            </w:r>
            <w:r>
              <w:rPr>
                <w:rFonts w:hint="eastAsia" w:ascii="仿宋" w:hAnsi="仿宋" w:eastAsia="仿宋" w:cs="仿宋"/>
                <w:szCs w:val="21"/>
                <w:lang w:val="en-US" w:eastAsia="zh-CN"/>
              </w:rPr>
              <w:t>4</w:t>
            </w:r>
            <w:r>
              <w:rPr>
                <w:rFonts w:hint="eastAsia" w:ascii="仿宋" w:hAnsi="仿宋" w:eastAsia="仿宋" w:cs="仿宋"/>
                <w:szCs w:val="21"/>
                <w:lang w:eastAsia="zh-CN"/>
              </w:rPr>
              <w:t>年得基础分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分，每增加一年（12个月，不足12个月的不计）加</w:t>
            </w:r>
            <w:r>
              <w:rPr>
                <w:rFonts w:hint="eastAsia" w:ascii="仿宋" w:hAnsi="仿宋" w:eastAsia="仿宋" w:cs="仿宋"/>
                <w:szCs w:val="21"/>
                <w:lang w:val="en-US" w:eastAsia="zh-CN"/>
              </w:rPr>
              <w:t>1</w:t>
            </w:r>
            <w:r>
              <w:rPr>
                <w:rFonts w:hint="eastAsia" w:ascii="仿宋" w:hAnsi="仿宋" w:eastAsia="仿宋" w:cs="仿宋"/>
                <w:szCs w:val="21"/>
                <w:lang w:eastAsia="zh-CN"/>
              </w:rPr>
              <w:t>分，</w:t>
            </w:r>
            <w:r>
              <w:rPr>
                <w:rFonts w:hint="eastAsia" w:ascii="仿宋" w:hAnsi="仿宋" w:eastAsia="仿宋" w:cs="仿宋"/>
                <w:szCs w:val="21"/>
                <w:lang w:val="en-US" w:eastAsia="zh-CN"/>
              </w:rPr>
              <w:t>加满为止</w:t>
            </w:r>
            <w:r>
              <w:rPr>
                <w:rFonts w:hint="eastAsia" w:ascii="仿宋" w:hAnsi="仿宋" w:eastAsia="仿宋" w:cs="仿宋"/>
                <w:szCs w:val="21"/>
                <w:lang w:eastAsia="zh-CN"/>
              </w:rPr>
              <w:t>。</w:t>
            </w:r>
          </w:p>
        </w:tc>
      </w:tr>
      <w:tr w14:paraId="1E76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208EC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14:paraId="3F104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6BD27A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14:paraId="0F3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EBEB1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14:paraId="5B4E74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14:paraId="6011D9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14:paraId="4E0BC7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14:paraId="7E5A7D0C">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楷体" w:hAnsi="楷体" w:eastAsia="楷体" w:cs="楷体"/>
          <w:b/>
          <w:bCs/>
          <w:sz w:val="28"/>
          <w:szCs w:val="28"/>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D5513A0"/>
    <w:rsid w:val="102E3DB9"/>
    <w:rsid w:val="15D55597"/>
    <w:rsid w:val="172F5A1F"/>
    <w:rsid w:val="1E5E441A"/>
    <w:rsid w:val="25961EB9"/>
    <w:rsid w:val="2B0C2172"/>
    <w:rsid w:val="3BC4253C"/>
    <w:rsid w:val="3DA301A8"/>
    <w:rsid w:val="44A83EA2"/>
    <w:rsid w:val="4A7B537E"/>
    <w:rsid w:val="4AE836C7"/>
    <w:rsid w:val="530F1F74"/>
    <w:rsid w:val="549F610D"/>
    <w:rsid w:val="59FB3706"/>
    <w:rsid w:val="73FB4CB6"/>
    <w:rsid w:val="77274014"/>
    <w:rsid w:val="7A687F0C"/>
    <w:rsid w:val="7B136D89"/>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2741</Words>
  <Characters>2834</Characters>
  <Lines>0</Lines>
  <Paragraphs>0</Paragraphs>
  <TotalTime>11</TotalTime>
  <ScaleCrop>false</ScaleCrop>
  <LinksUpToDate>false</LinksUpToDate>
  <CharactersWithSpaces>2853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吴怡</cp:lastModifiedBy>
  <dcterms:modified xsi:type="dcterms:W3CDTF">2026-05-29T07:26:14Z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46310E86A9804DEDAACD356EE0DEB140</vt:lpwstr>
  </property>
  <property fmtid="{D5CDD505-2E9C-101B-9397-08002B2CF9AE}" pid="4" name="KSOTemplateDocerSaveRecord">
    <vt:lpwstr>eyJoZGlkIjoiMWY3MjliM2ZjZjFkYzVmNDQwYzA5ZTZmZGNhMmYwZDgiLCJ1c2VySWQiOiIxNzcxNzk1NjcxIn0=</vt:lpwstr>
  </property>
</Properties>
</file>