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13F8A">
      <w:pPr>
        <w:keepNext w:val="0"/>
        <w:keepLines w:val="0"/>
        <w:pageBreakBefore w:val="0"/>
        <w:widowControl/>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自动气压止血仪技术参数</w:t>
      </w:r>
    </w:p>
    <w:p w14:paraId="75BE673E">
      <w:pPr>
        <w:keepNext w:val="0"/>
        <w:keepLines w:val="0"/>
        <w:pageBreakBefore w:val="0"/>
        <w:widowControl/>
        <w:kinsoku/>
        <w:wordWrap/>
        <w:overflowPunct/>
        <w:topLinePunct w:val="0"/>
        <w:bidi w:val="0"/>
        <w:adjustRightInd/>
        <w:snapToGrid/>
        <w:spacing w:line="560" w:lineRule="exact"/>
        <w:textAlignment w:val="auto"/>
        <w:rPr>
          <w:rFonts w:ascii="微软雅黑" w:hAnsi="微软雅黑" w:eastAsia="微软雅黑"/>
          <w:b/>
          <w:sz w:val="24"/>
          <w:szCs w:val="24"/>
        </w:rPr>
      </w:pPr>
    </w:p>
    <w:p w14:paraId="1118B1DE">
      <w:pPr>
        <w:keepNext w:val="0"/>
        <w:keepLines w:val="0"/>
        <w:pageBreakBefore w:val="0"/>
        <w:widowControl/>
        <w:kinsoku/>
        <w:wordWrap/>
        <w:overflowPunct/>
        <w:topLinePunct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1、输出方式：</w:t>
      </w:r>
      <w:r>
        <w:rPr>
          <w:rFonts w:hint="eastAsia" w:ascii="仿宋_GB2312" w:hAnsi="仿宋_GB2312" w:eastAsia="仿宋_GB2312" w:cs="仿宋_GB2312"/>
          <w:sz w:val="32"/>
          <w:szCs w:val="32"/>
        </w:rPr>
        <w:t>双路输出，适用于上肢或下肢双肢使用；</w:t>
      </w:r>
    </w:p>
    <w:p w14:paraId="7E138ECB">
      <w:pPr>
        <w:keepNext w:val="0"/>
        <w:keepLines w:val="0"/>
        <w:pageBreakBefore w:val="0"/>
        <w:widowControl/>
        <w:kinsoku/>
        <w:wordWrap/>
        <w:overflowPunct/>
        <w:topLinePunct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2、电源电压：</w:t>
      </w:r>
      <w:r>
        <w:rPr>
          <w:rFonts w:hint="eastAsia" w:ascii="仿宋_GB2312" w:hAnsi="仿宋_GB2312" w:eastAsia="仿宋_GB2312" w:cs="仿宋_GB2312"/>
          <w:sz w:val="32"/>
          <w:szCs w:val="32"/>
        </w:rPr>
        <w:t>AC220V±22V，50Hz±1Hz；</w:t>
      </w:r>
    </w:p>
    <w:p w14:paraId="13DABD48">
      <w:pPr>
        <w:keepNext w:val="0"/>
        <w:keepLines w:val="0"/>
        <w:pageBreakBefore w:val="0"/>
        <w:widowControl/>
        <w:kinsoku/>
        <w:wordWrap/>
        <w:overflowPunct/>
        <w:topLinePunct w:val="0"/>
        <w:bidi w:val="0"/>
        <w:adjustRightInd/>
        <w:snapToGrid/>
        <w:spacing w:line="560" w:lineRule="exac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功率：</w:t>
      </w:r>
      <w:r>
        <w:rPr>
          <w:rFonts w:hint="eastAsia" w:ascii="仿宋_GB2312" w:hAnsi="仿宋_GB2312" w:eastAsia="仿宋_GB2312" w:cs="仿宋_GB2312"/>
          <w:b/>
          <w:sz w:val="32"/>
          <w:szCs w:val="32"/>
          <w:lang w:val="en-US" w:eastAsia="zh-CN"/>
        </w:rPr>
        <w:t>15-</w:t>
      </w:r>
      <w:r>
        <w:rPr>
          <w:rFonts w:hint="eastAsia" w:ascii="仿宋_GB2312" w:hAnsi="仿宋_GB2312" w:eastAsia="仿宋_GB2312" w:cs="仿宋_GB2312"/>
          <w:b/>
          <w:sz w:val="32"/>
          <w:szCs w:val="32"/>
          <w:lang w:eastAsia="zh-CN"/>
        </w:rPr>
        <w:t>2</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b/>
          <w:sz w:val="32"/>
          <w:szCs w:val="32"/>
        </w:rPr>
        <w:t>VA</w:t>
      </w:r>
    </w:p>
    <w:p w14:paraId="5903D5AD">
      <w:pPr>
        <w:pStyle w:val="41"/>
        <w:keepNext w:val="0"/>
        <w:keepLines w:val="0"/>
        <w:pageBreakBefore w:val="0"/>
        <w:widowControl/>
        <w:tabs>
          <w:tab w:val="left" w:pos="8656"/>
        </w:tabs>
        <w:kinsoku/>
        <w:wordWrap/>
        <w:overflowPunct/>
        <w:topLinePunct w:val="0"/>
        <w:bidi w:val="0"/>
        <w:adjustRightInd/>
        <w:snapToGrid/>
        <w:spacing w:line="560" w:lineRule="exact"/>
        <w:ind w:firstLine="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rPr>
        <w:t>、操作方式：</w:t>
      </w:r>
      <w:r>
        <w:rPr>
          <w:rFonts w:hint="eastAsia" w:ascii="仿宋_GB2312" w:hAnsi="仿宋_GB2312" w:eastAsia="仿宋_GB2312" w:cs="仿宋_GB2312"/>
          <w:sz w:val="32"/>
          <w:szCs w:val="32"/>
        </w:rPr>
        <w:t>精确数字显示，按键操作，微电脑控制；</w:t>
      </w:r>
      <w:r>
        <w:rPr>
          <w:rFonts w:hint="eastAsia" w:ascii="仿宋_GB2312" w:hAnsi="仿宋_GB2312" w:eastAsia="仿宋_GB2312" w:cs="仿宋_GB2312"/>
          <w:sz w:val="32"/>
          <w:szCs w:val="32"/>
          <w:lang w:eastAsia="zh-CN"/>
        </w:rPr>
        <w:tab/>
      </w:r>
    </w:p>
    <w:p w14:paraId="01C6B2A1">
      <w:pPr>
        <w:pStyle w:val="41"/>
        <w:keepNext w:val="0"/>
        <w:keepLines w:val="0"/>
        <w:pageBreakBefore w:val="0"/>
        <w:widowControl/>
        <w:kinsoku/>
        <w:wordWrap/>
        <w:overflowPunct/>
        <w:topLinePunct w:val="0"/>
        <w:bidi w:val="0"/>
        <w:adjustRightInd/>
        <w:snapToGrid/>
        <w:spacing w:line="560" w:lineRule="exact"/>
        <w:ind w:firstLine="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、工作压力：</w:t>
      </w:r>
      <w:r>
        <w:rPr>
          <w:rFonts w:hint="eastAsia" w:ascii="仿宋_GB2312" w:hAnsi="仿宋_GB2312" w:eastAsia="仿宋_GB2312" w:cs="仿宋_GB2312"/>
          <w:sz w:val="32"/>
          <w:szCs w:val="32"/>
        </w:rPr>
        <w:t>设定范围：</w:t>
      </w:r>
      <w:r>
        <w:rPr>
          <w:rFonts w:hint="eastAsia" w:ascii="仿宋_GB2312" w:hAnsi="仿宋_GB2312" w:eastAsia="仿宋_GB2312" w:cs="仿宋_GB2312"/>
          <w:sz w:val="32"/>
          <w:szCs w:val="32"/>
          <w:lang w:val="en-US" w:eastAsia="zh-CN"/>
        </w:rPr>
        <w:t>至</w:t>
      </w:r>
      <w:bookmarkStart w:id="0" w:name="_GoBack"/>
      <w:bookmarkEnd w:id="0"/>
      <w:r>
        <w:rPr>
          <w:rFonts w:hint="eastAsia" w:ascii="仿宋_GB2312" w:hAnsi="仿宋_GB2312" w:eastAsia="仿宋_GB2312" w:cs="仿宋_GB2312"/>
          <w:sz w:val="32"/>
          <w:szCs w:val="32"/>
          <w:lang w:val="en-US" w:eastAsia="zh-CN"/>
        </w:rPr>
        <w:t>少包含</w:t>
      </w:r>
      <w:r>
        <w:rPr>
          <w:rFonts w:hint="eastAsia" w:ascii="仿宋_GB2312" w:hAnsi="仿宋_GB2312" w:eastAsia="仿宋_GB2312" w:cs="仿宋_GB2312"/>
          <w:sz w:val="32"/>
          <w:szCs w:val="32"/>
        </w:rPr>
        <w:t>3～100kPa，步距1 kPa；</w:t>
      </w:r>
    </w:p>
    <w:p w14:paraId="37CD4378">
      <w:pPr>
        <w:pStyle w:val="41"/>
        <w:keepNext w:val="0"/>
        <w:keepLines w:val="0"/>
        <w:pageBreakBefore w:val="0"/>
        <w:widowControl/>
        <w:kinsoku/>
        <w:wordWrap/>
        <w:overflowPunct/>
        <w:topLinePunct w:val="0"/>
        <w:bidi w:val="0"/>
        <w:adjustRightInd/>
        <w:snapToGrid/>
        <w:spacing w:line="560" w:lineRule="exact"/>
        <w:ind w:firstLine="0"/>
        <w:textAlignment w:val="auto"/>
        <w:outlineLvl w:val="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6</w:t>
      </w:r>
      <w:r>
        <w:rPr>
          <w:rFonts w:hint="eastAsia" w:ascii="仿宋_GB2312" w:hAnsi="仿宋_GB2312" w:eastAsia="仿宋_GB2312" w:cs="仿宋_GB2312"/>
          <w:b/>
          <w:sz w:val="32"/>
          <w:szCs w:val="32"/>
        </w:rPr>
        <w:t>、工作时间：</w:t>
      </w:r>
      <w:r>
        <w:rPr>
          <w:rFonts w:hint="eastAsia" w:ascii="仿宋_GB2312" w:hAnsi="仿宋_GB2312" w:eastAsia="仿宋_GB2312" w:cs="仿宋_GB2312"/>
          <w:sz w:val="32"/>
          <w:szCs w:val="32"/>
        </w:rPr>
        <w:t>设定范围：</w:t>
      </w:r>
      <w:r>
        <w:rPr>
          <w:rFonts w:hint="eastAsia" w:ascii="仿宋_GB2312" w:hAnsi="仿宋_GB2312" w:eastAsia="仿宋_GB2312" w:cs="仿宋_GB2312"/>
          <w:sz w:val="32"/>
          <w:szCs w:val="32"/>
          <w:lang w:val="en-US" w:eastAsia="zh-CN"/>
        </w:rPr>
        <w:t>至少包含</w:t>
      </w:r>
      <w:r>
        <w:rPr>
          <w:rFonts w:hint="eastAsia" w:ascii="仿宋_GB2312" w:hAnsi="仿宋_GB2312" w:eastAsia="仿宋_GB2312" w:cs="仿宋_GB2312"/>
          <w:sz w:val="32"/>
          <w:szCs w:val="32"/>
        </w:rPr>
        <w:t>1～600min，步距1分钟；</w:t>
      </w:r>
    </w:p>
    <w:p w14:paraId="24AA880F">
      <w:pPr>
        <w:pStyle w:val="41"/>
        <w:keepNext w:val="0"/>
        <w:keepLines w:val="0"/>
        <w:pageBreakBefore w:val="0"/>
        <w:widowControl/>
        <w:kinsoku/>
        <w:wordWrap/>
        <w:overflowPunct/>
        <w:topLinePunct w:val="0"/>
        <w:bidi w:val="0"/>
        <w:adjustRightInd/>
        <w:snapToGrid/>
        <w:spacing w:line="560" w:lineRule="exact"/>
        <w:ind w:firstLine="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7</w:t>
      </w:r>
      <w:r>
        <w:rPr>
          <w:rFonts w:hint="eastAsia" w:ascii="仿宋_GB2312" w:hAnsi="仿宋_GB2312" w:eastAsia="仿宋_GB2312" w:cs="仿宋_GB2312"/>
          <w:b/>
          <w:sz w:val="32"/>
          <w:szCs w:val="32"/>
        </w:rPr>
        <w:t>、记忆功能：</w:t>
      </w:r>
      <w:r>
        <w:rPr>
          <w:rFonts w:hint="eastAsia" w:ascii="仿宋_GB2312" w:hAnsi="仿宋_GB2312" w:eastAsia="仿宋_GB2312" w:cs="仿宋_GB2312"/>
          <w:sz w:val="32"/>
          <w:szCs w:val="32"/>
        </w:rPr>
        <w:t>设备断电后自动存储上次设定参数，以供下次使用参考；</w:t>
      </w:r>
    </w:p>
    <w:p w14:paraId="2CE2517A">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8</w:t>
      </w:r>
      <w:r>
        <w:rPr>
          <w:rFonts w:hint="eastAsia" w:ascii="仿宋_GB2312" w:hAnsi="仿宋_GB2312" w:eastAsia="仿宋_GB2312" w:cs="仿宋_GB2312"/>
          <w:b/>
          <w:sz w:val="32"/>
          <w:szCs w:val="32"/>
        </w:rPr>
        <w:t>、阶梯放气</w:t>
      </w:r>
      <w:r>
        <w:rPr>
          <w:rFonts w:hint="eastAsia" w:ascii="仿宋_GB2312" w:hAnsi="仿宋_GB2312" w:eastAsia="仿宋_GB2312" w:cs="仿宋_GB2312"/>
          <w:sz w:val="32"/>
          <w:szCs w:val="32"/>
        </w:rPr>
        <w:t>：设定工作时间到或按“放气”键时，设备每隔10秒进行一次放气，放气压力为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3kPa，防止患者心、脑突然缺血；</w:t>
      </w:r>
    </w:p>
    <w:p w14:paraId="6D6FA80C">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9</w:t>
      </w:r>
      <w:r>
        <w:rPr>
          <w:rFonts w:hint="eastAsia" w:ascii="仿宋_GB2312" w:hAnsi="仿宋_GB2312" w:eastAsia="仿宋_GB2312" w:cs="仿宋_GB2312"/>
          <w:b/>
          <w:sz w:val="32"/>
          <w:szCs w:val="32"/>
        </w:rPr>
        <w:t>、断电、失电压力保持:</w:t>
      </w:r>
      <w:r>
        <w:rPr>
          <w:rFonts w:hint="eastAsia" w:ascii="仿宋_GB2312" w:hAnsi="仿宋_GB2312" w:eastAsia="仿宋_GB2312" w:cs="仿宋_GB2312"/>
          <w:sz w:val="32"/>
          <w:szCs w:val="32"/>
        </w:rPr>
        <w:t>出现意外断电时，设备将继续保持止血仪内的气压值，气体的泄漏速率每小时不得大于10kPa。以便维持手术继续进行，保证患者安全；</w:t>
      </w:r>
    </w:p>
    <w:p w14:paraId="67E76DA5">
      <w:pPr>
        <w:pStyle w:val="41"/>
        <w:keepNext w:val="0"/>
        <w:keepLines w:val="0"/>
        <w:pageBreakBefore w:val="0"/>
        <w:widowControl/>
        <w:kinsoku/>
        <w:wordWrap/>
        <w:overflowPunct/>
        <w:topLinePunct w:val="0"/>
        <w:bidi w:val="0"/>
        <w:adjustRightInd/>
        <w:snapToGrid/>
        <w:spacing w:line="560" w:lineRule="exact"/>
        <w:ind w:firstLine="0"/>
        <w:textAlignment w:val="auto"/>
        <w:outlineLvl w:val="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10</w:t>
      </w:r>
      <w:r>
        <w:rPr>
          <w:rFonts w:hint="eastAsia" w:ascii="仿宋_GB2312" w:hAnsi="仿宋_GB2312" w:eastAsia="仿宋_GB2312" w:cs="仿宋_GB2312"/>
          <w:b/>
          <w:sz w:val="32"/>
          <w:szCs w:val="32"/>
        </w:rPr>
        <w:t>、紧急阀门装置：</w:t>
      </w:r>
      <w:r>
        <w:rPr>
          <w:rFonts w:hint="eastAsia" w:ascii="仿宋_GB2312" w:hAnsi="仿宋_GB2312" w:eastAsia="仿宋_GB2312" w:cs="仿宋_GB2312"/>
          <w:sz w:val="32"/>
          <w:szCs w:val="32"/>
        </w:rPr>
        <w:t>可手动紧急放气；</w:t>
      </w:r>
    </w:p>
    <w:p w14:paraId="3E5A648F">
      <w:pPr>
        <w:pStyle w:val="41"/>
        <w:keepNext w:val="0"/>
        <w:keepLines w:val="0"/>
        <w:pageBreakBefore w:val="0"/>
        <w:widowControl/>
        <w:kinsoku/>
        <w:wordWrap/>
        <w:overflowPunct/>
        <w:topLinePunct w:val="0"/>
        <w:bidi w:val="0"/>
        <w:adjustRightInd/>
        <w:snapToGrid/>
        <w:spacing w:line="560" w:lineRule="exact"/>
        <w:ind w:firstLine="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、压力自动补偿功能：</w:t>
      </w:r>
      <w:r>
        <w:rPr>
          <w:rFonts w:hint="eastAsia" w:ascii="仿宋_GB2312" w:hAnsi="仿宋_GB2312" w:eastAsia="仿宋_GB2312" w:cs="仿宋_GB2312"/>
          <w:sz w:val="32"/>
          <w:szCs w:val="32"/>
        </w:rPr>
        <w:t>设备工作时，实时检测止血袖带内气压，对挤压袖带造成的过压、欠压及时调整，实现止血袖带气压稳定；</w:t>
      </w:r>
    </w:p>
    <w:p w14:paraId="69C9163D">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、工作噪音</w:t>
      </w:r>
      <w:r>
        <w:rPr>
          <w:rFonts w:hint="eastAsia" w:ascii="仿宋_GB2312" w:hAnsi="仿宋_GB2312" w:eastAsia="仿宋_GB2312" w:cs="仿宋_GB2312"/>
          <w:sz w:val="32"/>
          <w:szCs w:val="32"/>
        </w:rPr>
        <w:t>：设备正常工作时噪音≤55dB(A)；</w:t>
      </w:r>
    </w:p>
    <w:p w14:paraId="3B1A281A">
      <w:pPr>
        <w:pStyle w:val="41"/>
        <w:keepNext w:val="0"/>
        <w:keepLines w:val="0"/>
        <w:pageBreakBefore w:val="0"/>
        <w:widowControl/>
        <w:kinsoku/>
        <w:wordWrap/>
        <w:overflowPunct/>
        <w:topLinePunct w:val="0"/>
        <w:bidi w:val="0"/>
        <w:adjustRightInd/>
        <w:snapToGrid/>
        <w:spacing w:line="560" w:lineRule="exact"/>
        <w:ind w:firstLine="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、提示功能</w:t>
      </w:r>
      <w:r>
        <w:rPr>
          <w:rFonts w:hint="eastAsia" w:ascii="仿宋_GB2312" w:hAnsi="仿宋_GB2312" w:eastAsia="仿宋_GB2312" w:cs="仿宋_GB2312"/>
          <w:sz w:val="32"/>
          <w:szCs w:val="32"/>
        </w:rPr>
        <w:t>：a、设定工作时间剩余10min、5min、1min时，将有提醒</w:t>
      </w:r>
      <w:r>
        <w:rPr>
          <w:rFonts w:hint="eastAsia" w:ascii="仿宋_GB2312" w:hAnsi="仿宋_GB2312" w:eastAsia="仿宋_GB2312" w:cs="仿宋_GB2312"/>
          <w:sz w:val="32"/>
          <w:szCs w:val="32"/>
          <w:lang w:val="en-US" w:eastAsia="zh-CN"/>
        </w:rPr>
        <w:t>音提醒</w:t>
      </w:r>
      <w:r>
        <w:rPr>
          <w:rFonts w:hint="eastAsia" w:ascii="仿宋_GB2312" w:hAnsi="仿宋_GB2312" w:eastAsia="仿宋_GB2312" w:cs="仿宋_GB2312"/>
          <w:sz w:val="32"/>
          <w:szCs w:val="32"/>
        </w:rPr>
        <w:t>操作人员；b、设定工作时间完成时，蜂鸣器</w:t>
      </w:r>
      <w:r>
        <w:rPr>
          <w:rFonts w:hint="eastAsia" w:ascii="仿宋_GB2312" w:hAnsi="仿宋_GB2312" w:eastAsia="仿宋_GB2312" w:cs="仿宋_GB2312"/>
          <w:sz w:val="32"/>
          <w:szCs w:val="32"/>
          <w:lang w:val="en-US" w:eastAsia="zh-CN"/>
        </w:rPr>
        <w:t>发出</w:t>
      </w:r>
      <w:r>
        <w:rPr>
          <w:rFonts w:hint="eastAsia" w:ascii="仿宋_GB2312" w:hAnsi="仿宋_GB2312" w:eastAsia="仿宋_GB2312" w:cs="仿宋_GB2312"/>
          <w:sz w:val="32"/>
          <w:szCs w:val="32"/>
        </w:rPr>
        <w:t>声响，提示操作人员设定工作时间完成；c、止血仪内气压超过设定值的±5kPa,时间超过2min时，将有持续</w:t>
      </w:r>
      <w:r>
        <w:rPr>
          <w:rFonts w:hint="eastAsia" w:ascii="仿宋_GB2312" w:hAnsi="仿宋_GB2312" w:eastAsia="仿宋_GB2312" w:cs="仿宋_GB2312"/>
          <w:sz w:val="32"/>
          <w:szCs w:val="32"/>
          <w:lang w:val="en-US" w:eastAsia="zh-CN"/>
        </w:rPr>
        <w:t>提示</w:t>
      </w:r>
      <w:r>
        <w:rPr>
          <w:rFonts w:hint="eastAsia" w:ascii="仿宋_GB2312" w:hAnsi="仿宋_GB2312" w:eastAsia="仿宋_GB2312" w:cs="仿宋_GB2312"/>
          <w:sz w:val="32"/>
          <w:szCs w:val="32"/>
        </w:rPr>
        <w:t>声</w:t>
      </w:r>
      <w:r>
        <w:rPr>
          <w:rFonts w:hint="eastAsia" w:ascii="仿宋_GB2312" w:hAnsi="仿宋_GB2312" w:eastAsia="仿宋_GB2312" w:cs="仿宋_GB2312"/>
          <w:sz w:val="32"/>
          <w:szCs w:val="32"/>
          <w:lang w:val="en-US" w:eastAsia="zh-CN"/>
        </w:rPr>
        <w:t>提醒操作人员</w:t>
      </w:r>
      <w:r>
        <w:rPr>
          <w:rFonts w:hint="eastAsia" w:ascii="仿宋_GB2312" w:hAnsi="仿宋_GB2312" w:eastAsia="仿宋_GB2312" w:cs="仿宋_GB2312"/>
          <w:sz w:val="32"/>
          <w:szCs w:val="32"/>
        </w:rPr>
        <w:t>；</w:t>
      </w:r>
    </w:p>
    <w:p w14:paraId="12A2958A">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rPr>
        <w:t>、外观尺寸：</w:t>
      </w:r>
      <w:r>
        <w:rPr>
          <w:rFonts w:hint="eastAsia" w:ascii="仿宋_GB2312" w:hAnsi="仿宋_GB2312" w:eastAsia="仿宋_GB2312" w:cs="仿宋_GB2312"/>
          <w:sz w:val="32"/>
          <w:szCs w:val="32"/>
        </w:rPr>
        <w:t>一体成膜ABS材质</w:t>
      </w:r>
      <w:r>
        <w:rPr>
          <w:rFonts w:hint="eastAsia" w:ascii="仿宋_GB2312" w:hAnsi="仿宋_GB2312" w:eastAsia="仿宋_GB2312" w:cs="仿宋_GB2312"/>
          <w:sz w:val="32"/>
          <w:szCs w:val="32"/>
          <w:lang w:val="en-US" w:eastAsia="zh-CN"/>
        </w:rPr>
        <w:t>。</w:t>
      </w:r>
    </w:p>
    <w:p w14:paraId="1C1923BA">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、延长导气管尺寸：</w:t>
      </w:r>
      <w:r>
        <w:rPr>
          <w:rFonts w:hint="eastAsia" w:ascii="仿宋_GB2312" w:hAnsi="仿宋_GB2312" w:eastAsia="仿宋_GB2312" w:cs="仿宋_GB2312"/>
          <w:sz w:val="32"/>
          <w:szCs w:val="32"/>
        </w:rPr>
        <w:t>长度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m</w:t>
      </w:r>
      <w:r>
        <w:rPr>
          <w:rFonts w:hint="eastAsia" w:ascii="仿宋_GB2312" w:hAnsi="仿宋_GB2312" w:eastAsia="仿宋_GB2312" w:cs="仿宋_GB2312"/>
          <w:sz w:val="32"/>
          <w:szCs w:val="32"/>
          <w:highlight w:val="none"/>
          <w:lang w:eastAsia="zh-CN"/>
        </w:rPr>
        <w:t>。</w:t>
      </w:r>
    </w:p>
    <w:p w14:paraId="121210FE">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6</w:t>
      </w:r>
      <w:r>
        <w:rPr>
          <w:rFonts w:hint="eastAsia" w:ascii="仿宋_GB2312" w:hAnsi="仿宋_GB2312" w:eastAsia="仿宋_GB2312" w:cs="仿宋_GB2312"/>
          <w:b/>
          <w:sz w:val="32"/>
          <w:szCs w:val="32"/>
        </w:rPr>
        <w:t>、止血袖带尺寸：</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能满足下肢和上肢使用）下肢：</w:t>
      </w:r>
      <w:r>
        <w:rPr>
          <w:rFonts w:hint="eastAsia" w:ascii="仿宋_GB2312" w:hAnsi="仿宋_GB2312" w:eastAsia="仿宋_GB2312" w:cs="仿宋_GB2312"/>
          <w:sz w:val="32"/>
          <w:szCs w:val="32"/>
          <w:highlight w:val="none"/>
        </w:rPr>
        <w:t>超大号袖带：2条</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sz w:val="32"/>
          <w:szCs w:val="32"/>
          <w:highlight w:val="none"/>
        </w:rPr>
        <w:t>大号袖带：2条，中号袖带2条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上肢：</w:t>
      </w:r>
      <w:r>
        <w:rPr>
          <w:rFonts w:hint="eastAsia" w:ascii="仿宋_GB2312" w:hAnsi="仿宋_GB2312" w:eastAsia="仿宋_GB2312" w:cs="仿宋_GB2312"/>
          <w:sz w:val="32"/>
          <w:szCs w:val="32"/>
          <w:highlight w:val="none"/>
        </w:rPr>
        <w:t>小号袖带2条</w:t>
      </w:r>
    </w:p>
    <w:p w14:paraId="39070C21">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7</w:t>
      </w:r>
      <w:r>
        <w:rPr>
          <w:rFonts w:hint="eastAsia" w:ascii="仿宋_GB2312" w:hAnsi="仿宋_GB2312" w:eastAsia="仿宋_GB2312" w:cs="仿宋_GB2312"/>
          <w:b/>
          <w:sz w:val="32"/>
          <w:szCs w:val="32"/>
        </w:rPr>
        <w:t>、推车：</w:t>
      </w:r>
      <w:r>
        <w:rPr>
          <w:rFonts w:hint="eastAsia" w:ascii="仿宋_GB2312" w:hAnsi="仿宋_GB2312" w:eastAsia="仿宋_GB2312" w:cs="仿宋_GB2312"/>
          <w:sz w:val="32"/>
          <w:szCs w:val="32"/>
        </w:rPr>
        <w:t>标配推车一台；</w:t>
      </w:r>
    </w:p>
    <w:p w14:paraId="43CC129B">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配置</w:t>
      </w:r>
      <w:r>
        <w:rPr>
          <w:rFonts w:hint="eastAsia" w:ascii="仿宋_GB2312" w:hAnsi="仿宋_GB2312" w:eastAsia="仿宋_GB2312" w:cs="仿宋_GB2312"/>
          <w:b/>
          <w:bCs/>
          <w:sz w:val="32"/>
          <w:szCs w:val="32"/>
        </w:rPr>
        <w:t>内置锂电池：</w:t>
      </w:r>
      <w:r>
        <w:rPr>
          <w:rFonts w:hint="eastAsia" w:ascii="仿宋_GB2312" w:hAnsi="仿宋_GB2312" w:eastAsia="仿宋_GB2312" w:cs="仿宋_GB2312"/>
          <w:sz w:val="32"/>
          <w:szCs w:val="32"/>
        </w:rPr>
        <w:t>可连续工作6小时以上；</w:t>
      </w:r>
    </w:p>
    <w:p w14:paraId="61E90EE0">
      <w:pPr>
        <w:rPr>
          <w:rFonts w:hint="eastAsia" w:ascii="仿宋_GB2312" w:hAnsi="仿宋_GB2312" w:eastAsia="仿宋_GB2312" w:cs="仿宋_GB2312"/>
          <w:sz w:val="28"/>
          <w:szCs w:val="36"/>
        </w:rPr>
      </w:pPr>
    </w:p>
    <w:p w14:paraId="7041CE1A">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rPr>
        <w:t>供应商每有一条重要参数</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rPr>
        <w:t>※</w:t>
      </w:r>
      <w:r>
        <w:rPr>
          <w:rFonts w:hint="eastAsia" w:ascii="仿宋_GB2312" w:hAnsi="仿宋_GB2312" w:eastAsia="仿宋_GB2312" w:cs="仿宋_GB2312"/>
          <w:sz w:val="28"/>
          <w:szCs w:val="36"/>
          <w:lang w:val="en-US" w:eastAsia="zh-CN"/>
        </w:rPr>
        <w:t>标志</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rPr>
        <w:t>不响应扣</w:t>
      </w:r>
      <w:r>
        <w:rPr>
          <w:rFonts w:hint="eastAsia" w:ascii="仿宋_GB2312" w:hAnsi="仿宋_GB2312" w:eastAsia="仿宋_GB2312" w:cs="仿宋_GB2312"/>
          <w:sz w:val="28"/>
          <w:szCs w:val="36"/>
          <w:lang w:val="en-US" w:eastAsia="zh-CN"/>
        </w:rPr>
        <w:t>5</w:t>
      </w:r>
      <w:r>
        <w:rPr>
          <w:rFonts w:hint="eastAsia" w:ascii="仿宋_GB2312" w:hAnsi="仿宋_GB2312" w:eastAsia="仿宋_GB2312" w:cs="仿宋_GB2312"/>
          <w:sz w:val="28"/>
          <w:szCs w:val="36"/>
        </w:rPr>
        <w:t>分，每有一条一般参数不响应扣</w:t>
      </w:r>
      <w:r>
        <w:rPr>
          <w:rFonts w:hint="eastAsia" w:ascii="仿宋_GB2312" w:hAnsi="仿宋_GB2312" w:eastAsia="仿宋_GB2312" w:cs="仿宋_GB2312"/>
          <w:sz w:val="28"/>
          <w:szCs w:val="36"/>
          <w:lang w:val="en-US" w:eastAsia="zh-CN"/>
        </w:rPr>
        <w:t>1</w:t>
      </w:r>
      <w:r>
        <w:rPr>
          <w:rFonts w:hint="eastAsia" w:ascii="仿宋_GB2312" w:hAnsi="仿宋_GB2312" w:eastAsia="仿宋_GB2312" w:cs="仿宋_GB2312"/>
          <w:sz w:val="28"/>
          <w:szCs w:val="36"/>
        </w:rPr>
        <w:t>分，分数扣完为止。技术和功能响应未描述或未提供相应支撑材料的，对应项不得分。</w:t>
      </w:r>
    </w:p>
    <w:p w14:paraId="246B0E82">
      <w:pPr>
        <w:rPr>
          <w:rFonts w:hint="eastAsia" w:ascii="仿宋_GB2312" w:hAnsi="仿宋_GB2312" w:eastAsia="仿宋_GB2312" w:cs="仿宋_GB2312"/>
          <w:sz w:val="28"/>
          <w:szCs w:val="36"/>
          <w:lang w:val="en-US" w:eastAsia="zh-CN"/>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C900CE4">
      <w:pPr>
        <w:rPr>
          <w:rFonts w:hint="eastAsia" w:ascii="仿宋_GB2312" w:hAnsi="仿宋_GB2312" w:eastAsia="仿宋_GB2312" w:cs="仿宋_GB2312"/>
          <w:b/>
          <w:bCs/>
          <w:spacing w:val="-1"/>
          <w:sz w:val="24"/>
          <w:szCs w:val="24"/>
          <w:highlight w:val="none"/>
          <w:lang w:val="en-US" w:eastAsia="zh-CN"/>
        </w:rPr>
      </w:pPr>
      <w:r>
        <w:rPr>
          <w:rFonts w:hint="eastAsia" w:ascii="仿宋_GB2312" w:hAnsi="仿宋_GB2312" w:eastAsia="仿宋_GB2312" w:cs="仿宋_GB2312"/>
          <w:sz w:val="28"/>
          <w:szCs w:val="36"/>
          <w:highlight w:val="none"/>
          <w:lang w:val="en-US" w:eastAsia="zh-CN"/>
        </w:rPr>
        <w:t>4.整机质保不少于4年。</w:t>
      </w:r>
    </w:p>
    <w:p w14:paraId="0E2C1954">
      <w:pPr>
        <w:keepNext w:val="0"/>
        <w:keepLines w:val="0"/>
        <w:pageBreakBefore w:val="0"/>
        <w:widowControl/>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rPr>
      </w:pPr>
    </w:p>
    <w:sectPr>
      <w:headerReference r:id="rId3" w:type="default"/>
      <w:pgSz w:w="11906" w:h="16838"/>
      <w:pgMar w:top="720" w:right="1060" w:bottom="720" w:left="10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907AB">
    <w:pPr>
      <w:pStyle w:val="19"/>
      <w:pBdr>
        <w:bottom w:val="none" w:color="auto" w:sz="0" w:space="0"/>
      </w:pBdr>
      <w:rPr>
        <w:color w:val="595959" w:themeColor="text1" w:themeTint="A6"/>
        <w14:textFill>
          <w14:solidFill>
            <w14:schemeClr w14:val="tx1">
              <w14:lumMod w14:val="65000"/>
              <w14:lumOff w14:val="35000"/>
            </w14:schemeClr>
          </w14:solidFill>
        </w14:textFill>
      </w:rPr>
    </w:pPr>
    <w:r>
      <w:rPr>
        <w:rFonts w:hint="eastAsia"/>
        <w:color w:val="938953"/>
        <w:lang w:val="en-US" w:eastAsia="zh-CN"/>
      </w:rPr>
      <w:t xml:space="preserve">                                                                                </w:t>
    </w:r>
  </w:p>
  <w:p w14:paraId="168E1F5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0DB"/>
    <w:rsid w:val="00010ABB"/>
    <w:rsid w:val="000C70DB"/>
    <w:rsid w:val="00BC1751"/>
    <w:rsid w:val="013B2B96"/>
    <w:rsid w:val="0180309A"/>
    <w:rsid w:val="0D1609A1"/>
    <w:rsid w:val="11AF4981"/>
    <w:rsid w:val="11B76FB9"/>
    <w:rsid w:val="134B30B2"/>
    <w:rsid w:val="192E185B"/>
    <w:rsid w:val="19DC694F"/>
    <w:rsid w:val="1B2D557E"/>
    <w:rsid w:val="1D7C6F7B"/>
    <w:rsid w:val="1EB37DB8"/>
    <w:rsid w:val="228C4BA7"/>
    <w:rsid w:val="23E3036F"/>
    <w:rsid w:val="25BD10E6"/>
    <w:rsid w:val="27897907"/>
    <w:rsid w:val="2E6E0B40"/>
    <w:rsid w:val="2E996F2D"/>
    <w:rsid w:val="33230844"/>
    <w:rsid w:val="34872965"/>
    <w:rsid w:val="3673071A"/>
    <w:rsid w:val="36CF10AF"/>
    <w:rsid w:val="3AB27C02"/>
    <w:rsid w:val="3E175815"/>
    <w:rsid w:val="3F473ED8"/>
    <w:rsid w:val="3F6E5909"/>
    <w:rsid w:val="3FE74880"/>
    <w:rsid w:val="41143360"/>
    <w:rsid w:val="41BB0BAE"/>
    <w:rsid w:val="42EF6D61"/>
    <w:rsid w:val="443C34B4"/>
    <w:rsid w:val="444D5F1E"/>
    <w:rsid w:val="4E0D453F"/>
    <w:rsid w:val="51F14894"/>
    <w:rsid w:val="568D446F"/>
    <w:rsid w:val="569B02DB"/>
    <w:rsid w:val="58E229AF"/>
    <w:rsid w:val="5A2A3802"/>
    <w:rsid w:val="5A737E20"/>
    <w:rsid w:val="5DAD1E2B"/>
    <w:rsid w:val="66763D03"/>
    <w:rsid w:val="68F1591B"/>
    <w:rsid w:val="74026A79"/>
    <w:rsid w:val="76A9776D"/>
    <w:rsid w:val="78306EF8"/>
    <w:rsid w:val="79FD1E91"/>
    <w:rsid w:val="7DCF4D5C"/>
    <w:rsid w:val="7F8813C8"/>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name="header"/>
    <w:lsdException w:qFormat="1"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宋体" w:cstheme="minorBidi"/>
      <w:sz w:val="21"/>
      <w:szCs w:val="21"/>
      <w:lang w:val="en-US" w:eastAsia="zh-CN" w:bidi="ar-SA"/>
    </w:rPr>
  </w:style>
  <w:style w:type="paragraph" w:styleId="2">
    <w:name w:val="heading 1"/>
    <w:next w:val="1"/>
    <w:qFormat/>
    <w:uiPriority w:val="7"/>
    <w:pPr>
      <w:jc w:val="both"/>
      <w:outlineLvl w:val="0"/>
    </w:pPr>
    <w:rPr>
      <w:rFonts w:ascii="Calibri" w:hAnsi="Calibri" w:eastAsia="宋体" w:cstheme="minorBidi"/>
      <w:sz w:val="28"/>
      <w:szCs w:val="28"/>
      <w:lang w:val="en-US" w:eastAsia="zh-CN" w:bidi="ar-SA"/>
    </w:rPr>
  </w:style>
  <w:style w:type="paragraph" w:styleId="3">
    <w:name w:val="heading 2"/>
    <w:next w:val="1"/>
    <w:qFormat/>
    <w:uiPriority w:val="8"/>
    <w:pPr>
      <w:jc w:val="both"/>
      <w:outlineLvl w:val="1"/>
    </w:pPr>
    <w:rPr>
      <w:rFonts w:ascii="Calibri" w:hAnsi="Calibri" w:eastAsia="宋体" w:cstheme="minorBidi"/>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heme="minorBidi"/>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heme="minorBidi"/>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heme="minorBidi"/>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heme="minorBidi"/>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heme="minorBidi"/>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heme="minorBidi"/>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heme="minorBidi"/>
      <w:sz w:val="21"/>
      <w:szCs w:val="21"/>
      <w:lang w:val="en-US" w:eastAsia="zh-CN" w:bidi="ar-SA"/>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heme="minorBidi"/>
      <w:sz w:val="21"/>
      <w:szCs w:val="21"/>
      <w:lang w:val="en-US" w:eastAsia="zh-CN" w:bidi="ar-SA"/>
    </w:rPr>
  </w:style>
  <w:style w:type="paragraph" w:styleId="12">
    <w:name w:val="toa heading"/>
    <w:basedOn w:val="1"/>
    <w:next w:val="1"/>
    <w:unhideWhenUsed/>
    <w:qFormat/>
    <w:uiPriority w:val="0"/>
    <w:rPr>
      <w:rFonts w:ascii="Cambria" w:hAnsi="Cambria"/>
      <w:sz w:val="24"/>
      <w:szCs w:val="24"/>
    </w:rPr>
  </w:style>
  <w:style w:type="paragraph" w:styleId="13">
    <w:name w:val="annotation text"/>
    <w:basedOn w:val="1"/>
    <w:uiPriority w:val="0"/>
    <w:pPr>
      <w:jc w:val="left"/>
    </w:pPr>
  </w:style>
  <w:style w:type="paragraph" w:styleId="14">
    <w:name w:val="toc 5"/>
    <w:next w:val="1"/>
    <w:unhideWhenUsed/>
    <w:qFormat/>
    <w:uiPriority w:val="32"/>
    <w:pPr>
      <w:ind w:left="1700"/>
      <w:jc w:val="both"/>
    </w:pPr>
    <w:rPr>
      <w:rFonts w:ascii="Calibri" w:hAnsi="Calibri" w:eastAsia="宋体" w:cstheme="minorBidi"/>
      <w:sz w:val="21"/>
      <w:szCs w:val="21"/>
      <w:lang w:val="en-US" w:eastAsia="zh-CN" w:bidi="ar-SA"/>
    </w:rPr>
  </w:style>
  <w:style w:type="paragraph" w:styleId="15">
    <w:name w:val="toc 3"/>
    <w:next w:val="1"/>
    <w:unhideWhenUsed/>
    <w:qFormat/>
    <w:uiPriority w:val="30"/>
    <w:pPr>
      <w:ind w:left="850"/>
      <w:jc w:val="both"/>
    </w:pPr>
    <w:rPr>
      <w:rFonts w:ascii="Calibri" w:hAnsi="Calibri" w:eastAsia="宋体" w:cstheme="minorBidi"/>
      <w:sz w:val="21"/>
      <w:szCs w:val="21"/>
      <w:lang w:val="en-US" w:eastAsia="zh-CN" w:bidi="ar-SA"/>
    </w:rPr>
  </w:style>
  <w:style w:type="paragraph" w:styleId="16">
    <w:name w:val="toc 8"/>
    <w:next w:val="1"/>
    <w:unhideWhenUsed/>
    <w:qFormat/>
    <w:uiPriority w:val="35"/>
    <w:pPr>
      <w:ind w:left="2975"/>
      <w:jc w:val="both"/>
    </w:pPr>
    <w:rPr>
      <w:rFonts w:ascii="Calibri" w:hAnsi="Calibri" w:eastAsia="宋体" w:cstheme="minorBidi"/>
      <w:sz w:val="21"/>
      <w:szCs w:val="21"/>
      <w:lang w:val="en-US" w:eastAsia="zh-CN" w:bidi="ar-SA"/>
    </w:rPr>
  </w:style>
  <w:style w:type="paragraph" w:styleId="17">
    <w:name w:val="Balloon Text"/>
    <w:basedOn w:val="1"/>
    <w:link w:val="44"/>
    <w:semiHidden/>
    <w:unhideWhenUsed/>
    <w:qFormat/>
    <w:uiPriority w:val="0"/>
    <w:rPr>
      <w:sz w:val="18"/>
      <w:szCs w:val="18"/>
    </w:rPr>
  </w:style>
  <w:style w:type="paragraph" w:styleId="18">
    <w:name w:val="footer"/>
    <w:basedOn w:val="1"/>
    <w:link w:val="43"/>
    <w:semiHidden/>
    <w:unhideWhenUsed/>
    <w:qFormat/>
    <w:uiPriority w:val="0"/>
    <w:pPr>
      <w:tabs>
        <w:tab w:val="center" w:pos="4153"/>
        <w:tab w:val="right" w:pos="8306"/>
      </w:tabs>
    </w:pPr>
    <w:rPr>
      <w:sz w:val="18"/>
      <w:szCs w:val="18"/>
    </w:rPr>
  </w:style>
  <w:style w:type="paragraph" w:styleId="19">
    <w:name w:val="header"/>
    <w:basedOn w:val="1"/>
    <w:link w:val="42"/>
    <w:semiHidden/>
    <w:unhideWhenUsed/>
    <w:qFormat/>
    <w:uiPriority w:val="0"/>
    <w:pPr>
      <w:tabs>
        <w:tab w:val="center" w:pos="4153"/>
        <w:tab w:val="right" w:pos="8306"/>
      </w:tabs>
      <w:jc w:val="center"/>
    </w:pPr>
    <w:rPr>
      <w:sz w:val="18"/>
      <w:szCs w:val="18"/>
    </w:rPr>
  </w:style>
  <w:style w:type="paragraph" w:styleId="20">
    <w:name w:val="toc 1"/>
    <w:next w:val="1"/>
    <w:unhideWhenUsed/>
    <w:qFormat/>
    <w:uiPriority w:val="28"/>
    <w:pPr>
      <w:jc w:val="both"/>
    </w:pPr>
    <w:rPr>
      <w:rFonts w:ascii="Calibri" w:hAnsi="Calibri" w:eastAsia="宋体" w:cstheme="minorBidi"/>
      <w:sz w:val="21"/>
      <w:szCs w:val="21"/>
      <w:lang w:val="en-US" w:eastAsia="zh-CN" w:bidi="ar-SA"/>
    </w:rPr>
  </w:style>
  <w:style w:type="paragraph" w:styleId="21">
    <w:name w:val="toc 4"/>
    <w:next w:val="1"/>
    <w:unhideWhenUsed/>
    <w:qFormat/>
    <w:uiPriority w:val="31"/>
    <w:pPr>
      <w:ind w:left="1275"/>
      <w:jc w:val="both"/>
    </w:pPr>
    <w:rPr>
      <w:rFonts w:ascii="Calibri" w:hAnsi="Calibri" w:eastAsia="宋体" w:cstheme="minorBidi"/>
      <w:sz w:val="21"/>
      <w:szCs w:val="21"/>
      <w:lang w:val="en-US" w:eastAsia="zh-CN" w:bidi="ar-SA"/>
    </w:rPr>
  </w:style>
  <w:style w:type="paragraph" w:styleId="22">
    <w:name w:val="Subtitle"/>
    <w:qFormat/>
    <w:uiPriority w:val="16"/>
    <w:pPr>
      <w:jc w:val="center"/>
    </w:pPr>
    <w:rPr>
      <w:rFonts w:ascii="Calibri" w:hAnsi="Calibri" w:eastAsia="宋体" w:cstheme="minorBidi"/>
      <w:sz w:val="24"/>
      <w:szCs w:val="24"/>
      <w:lang w:val="en-US" w:eastAsia="zh-CN" w:bidi="ar-SA"/>
    </w:rPr>
  </w:style>
  <w:style w:type="paragraph" w:styleId="23">
    <w:name w:val="toc 6"/>
    <w:next w:val="1"/>
    <w:unhideWhenUsed/>
    <w:qFormat/>
    <w:uiPriority w:val="33"/>
    <w:pPr>
      <w:ind w:left="2125"/>
      <w:jc w:val="both"/>
    </w:pPr>
    <w:rPr>
      <w:rFonts w:ascii="Calibri" w:hAnsi="Calibri" w:eastAsia="宋体" w:cstheme="minorBidi"/>
      <w:sz w:val="21"/>
      <w:szCs w:val="21"/>
      <w:lang w:val="en-US" w:eastAsia="zh-CN" w:bidi="ar-SA"/>
    </w:rPr>
  </w:style>
  <w:style w:type="paragraph" w:styleId="24">
    <w:name w:val="toc 2"/>
    <w:next w:val="1"/>
    <w:unhideWhenUsed/>
    <w:qFormat/>
    <w:uiPriority w:val="29"/>
    <w:pPr>
      <w:ind w:left="425"/>
      <w:jc w:val="both"/>
    </w:pPr>
    <w:rPr>
      <w:rFonts w:ascii="Calibri" w:hAnsi="Calibri" w:eastAsia="宋体" w:cstheme="minorBidi"/>
      <w:sz w:val="21"/>
      <w:szCs w:val="21"/>
      <w:lang w:val="en-US" w:eastAsia="zh-CN" w:bidi="ar-SA"/>
    </w:rPr>
  </w:style>
  <w:style w:type="paragraph" w:styleId="25">
    <w:name w:val="toc 9"/>
    <w:next w:val="1"/>
    <w:unhideWhenUsed/>
    <w:qFormat/>
    <w:uiPriority w:val="36"/>
    <w:pPr>
      <w:ind w:left="3400"/>
      <w:jc w:val="both"/>
    </w:pPr>
    <w:rPr>
      <w:rFonts w:ascii="Calibri" w:hAnsi="Calibri" w:eastAsia="宋体" w:cstheme="minorBidi"/>
      <w:sz w:val="21"/>
      <w:szCs w:val="21"/>
      <w:lang w:val="en-US" w:eastAsia="zh-CN" w:bidi="ar-SA"/>
    </w:rPr>
  </w:style>
  <w:style w:type="paragraph" w:styleId="26">
    <w:name w:val="Title"/>
    <w:qFormat/>
    <w:uiPriority w:val="6"/>
    <w:pPr>
      <w:jc w:val="center"/>
    </w:pPr>
    <w:rPr>
      <w:rFonts w:ascii="Calibri" w:hAnsi="Calibri" w:eastAsia="宋体" w:cstheme="minorBidi"/>
      <w:b/>
      <w:sz w:val="32"/>
      <w:szCs w:val="32"/>
      <w:lang w:val="en-US" w:eastAsia="zh-CN" w:bidi="ar-SA"/>
    </w:rPr>
  </w:style>
  <w:style w:type="character" w:styleId="29">
    <w:name w:val="Strong"/>
    <w:qFormat/>
    <w:uiPriority w:val="20"/>
    <w:rPr>
      <w:b/>
      <w:w w:val="100"/>
      <w:sz w:val="21"/>
      <w:szCs w:val="21"/>
      <w:shd w:val="clear" w:color="auto" w:fill="auto"/>
    </w:rPr>
  </w:style>
  <w:style w:type="character" w:styleId="30">
    <w:name w:val="Emphasis"/>
    <w:qFormat/>
    <w:uiPriority w:val="18"/>
    <w:rPr>
      <w:i/>
      <w:w w:val="100"/>
      <w:sz w:val="21"/>
      <w:szCs w:val="21"/>
      <w:shd w:val="clear" w:color="auto" w:fill="auto"/>
    </w:rPr>
  </w:style>
  <w:style w:type="paragraph" w:styleId="31">
    <w:name w:val="No Spacing"/>
    <w:qFormat/>
    <w:uiPriority w:val="5"/>
    <w:pPr>
      <w:jc w:val="both"/>
    </w:pPr>
    <w:rPr>
      <w:rFonts w:ascii="Calibri" w:hAnsi="Calibri" w:eastAsia="宋体" w:cstheme="minorBidi"/>
      <w:sz w:val="21"/>
      <w:szCs w:val="21"/>
      <w:lang w:val="en-US" w:eastAsia="zh-CN" w:bidi="ar-SA"/>
    </w:rPr>
  </w:style>
  <w:style w:type="character" w:customStyle="1" w:styleId="32">
    <w:name w:val="不明显强调1"/>
    <w:qFormat/>
    <w:uiPriority w:val="17"/>
    <w:rPr>
      <w:i/>
      <w:color w:val="404040"/>
      <w:w w:val="100"/>
      <w:sz w:val="21"/>
      <w:szCs w:val="21"/>
      <w:shd w:val="clear" w:color="auto" w:fill="auto"/>
    </w:rPr>
  </w:style>
  <w:style w:type="character" w:customStyle="1" w:styleId="33">
    <w:name w:val="明显强调1"/>
    <w:qFormat/>
    <w:uiPriority w:val="19"/>
    <w:rPr>
      <w:i/>
      <w:color w:val="5B9BD5"/>
      <w:w w:val="100"/>
      <w:sz w:val="21"/>
      <w:szCs w:val="21"/>
      <w:shd w:val="clear" w:color="auto" w:fill="auto"/>
    </w:rPr>
  </w:style>
  <w:style w:type="paragraph" w:styleId="34">
    <w:name w:val="Quote"/>
    <w:qFormat/>
    <w:uiPriority w:val="21"/>
    <w:pPr>
      <w:ind w:left="864" w:right="864"/>
      <w:jc w:val="center"/>
    </w:pPr>
    <w:rPr>
      <w:rFonts w:ascii="Calibri" w:hAnsi="Calibri" w:eastAsia="宋体" w:cstheme="minorBidi"/>
      <w:i/>
      <w:color w:val="404040"/>
      <w:sz w:val="21"/>
      <w:szCs w:val="21"/>
      <w:lang w:val="en-US" w:eastAsia="zh-CN" w:bidi="ar-SA"/>
    </w:rPr>
  </w:style>
  <w:style w:type="paragraph" w:styleId="35">
    <w:name w:val="Intense Quote"/>
    <w:qFormat/>
    <w:uiPriority w:val="22"/>
    <w:pPr>
      <w:ind w:left="950" w:right="950"/>
      <w:jc w:val="center"/>
    </w:pPr>
    <w:rPr>
      <w:rFonts w:ascii="Calibri" w:hAnsi="Calibri" w:eastAsia="宋体" w:cstheme="minorBidi"/>
      <w:i/>
      <w:color w:val="5B9BD5"/>
      <w:sz w:val="21"/>
      <w:szCs w:val="21"/>
      <w:lang w:val="en-US" w:eastAsia="zh-CN" w:bidi="ar-SA"/>
    </w:rPr>
  </w:style>
  <w:style w:type="character" w:customStyle="1" w:styleId="36">
    <w:name w:val="不明显参考1"/>
    <w:qFormat/>
    <w:uiPriority w:val="23"/>
    <w:rPr>
      <w:smallCaps/>
      <w:color w:val="5A5A5A"/>
      <w:w w:val="100"/>
      <w:sz w:val="21"/>
      <w:szCs w:val="21"/>
      <w:shd w:val="clear" w:color="auto" w:fill="auto"/>
    </w:rPr>
  </w:style>
  <w:style w:type="character" w:customStyle="1" w:styleId="37">
    <w:name w:val="明显参考1"/>
    <w:qFormat/>
    <w:uiPriority w:val="24"/>
    <w:rPr>
      <w:b/>
      <w:smallCaps/>
      <w:color w:val="5B9BD5"/>
      <w:w w:val="100"/>
      <w:sz w:val="21"/>
      <w:szCs w:val="21"/>
      <w:shd w:val="clear" w:color="auto" w:fill="auto"/>
    </w:rPr>
  </w:style>
  <w:style w:type="character" w:customStyle="1" w:styleId="38">
    <w:name w:val="书籍标题1"/>
    <w:qFormat/>
    <w:uiPriority w:val="25"/>
    <w:rPr>
      <w:b/>
      <w:i/>
      <w:w w:val="100"/>
      <w:sz w:val="21"/>
      <w:szCs w:val="21"/>
      <w:shd w:val="clear" w:color="auto" w:fill="auto"/>
    </w:rPr>
  </w:style>
  <w:style w:type="paragraph" w:styleId="39">
    <w:name w:val="List Paragraph"/>
    <w:qFormat/>
    <w:uiPriority w:val="26"/>
    <w:pPr>
      <w:ind w:left="850"/>
      <w:jc w:val="both"/>
    </w:pPr>
    <w:rPr>
      <w:rFonts w:ascii="Calibri" w:hAnsi="Calibri" w:eastAsia="宋体" w:cstheme="minorBidi"/>
      <w:sz w:val="21"/>
      <w:szCs w:val="21"/>
      <w:lang w:val="en-US" w:eastAsia="zh-CN" w:bidi="ar-SA"/>
    </w:rPr>
  </w:style>
  <w:style w:type="paragraph" w:customStyle="1" w:styleId="40">
    <w:name w:val="TOC 标题1"/>
    <w:unhideWhenUsed/>
    <w:qFormat/>
    <w:uiPriority w:val="27"/>
    <w:rPr>
      <w:rFonts w:ascii="Calibri" w:hAnsi="Calibri" w:eastAsia="宋体" w:cstheme="minorBidi"/>
      <w:color w:val="2E74B5"/>
      <w:sz w:val="32"/>
      <w:szCs w:val="32"/>
      <w:lang w:val="en-US" w:eastAsia="zh-CN" w:bidi="ar-SA"/>
    </w:rPr>
  </w:style>
  <w:style w:type="paragraph" w:customStyle="1" w:styleId="41">
    <w:name w:val="列出段落1"/>
    <w:basedOn w:val="1"/>
    <w:qFormat/>
    <w:uiPriority w:val="0"/>
    <w:pPr>
      <w:ind w:firstLine="420"/>
    </w:pPr>
  </w:style>
  <w:style w:type="character" w:customStyle="1" w:styleId="42">
    <w:name w:val="页眉 字符"/>
    <w:basedOn w:val="28"/>
    <w:link w:val="19"/>
    <w:semiHidden/>
    <w:qFormat/>
    <w:uiPriority w:val="0"/>
    <w:rPr>
      <w:w w:val="100"/>
      <w:sz w:val="18"/>
      <w:szCs w:val="18"/>
      <w:shd w:val="clear" w:color="auto" w:fill="auto"/>
    </w:rPr>
  </w:style>
  <w:style w:type="character" w:customStyle="1" w:styleId="43">
    <w:name w:val="页脚 字符"/>
    <w:basedOn w:val="28"/>
    <w:link w:val="18"/>
    <w:semiHidden/>
    <w:qFormat/>
    <w:uiPriority w:val="0"/>
    <w:rPr>
      <w:w w:val="100"/>
      <w:sz w:val="18"/>
      <w:szCs w:val="18"/>
      <w:shd w:val="clear" w:color="auto" w:fill="auto"/>
    </w:rPr>
  </w:style>
  <w:style w:type="character" w:customStyle="1" w:styleId="44">
    <w:name w:val="批注框文本 字符"/>
    <w:basedOn w:val="28"/>
    <w:link w:val="17"/>
    <w:semiHidden/>
    <w:qFormat/>
    <w:uiPriority w:val="0"/>
    <w:rPr>
      <w:w w:val="100"/>
      <w:sz w:val="18"/>
      <w:szCs w:val="18"/>
      <w:shd w:val="clear" w:color="auto" w:fil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1057</Words>
  <Characters>1158</Characters>
  <Lines>5</Lines>
  <Paragraphs>1</Paragraphs>
  <TotalTime>15</TotalTime>
  <ScaleCrop>false</ScaleCrop>
  <LinksUpToDate>false</LinksUpToDate>
  <CharactersWithSpaces>1160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2020-08-19T03:51:00Z</dcterms:created>
  <dc:creator>Administrator</dc:creator>
  <cp:lastModifiedBy>吴怡</cp:lastModifiedBy>
  <cp:lastPrinted>2021-02-05T03:09:00Z</cp:lastPrinted>
  <dcterms:modified xsi:type="dcterms:W3CDTF">2026-05-29T01:51:46Z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A2E7526C2EAF46A7BDCDBE400A852E2C_13</vt:lpwstr>
  </property>
  <property fmtid="{D5CDD505-2E9C-101B-9397-08002B2CF9AE}" pid="4" name="KSOTemplateDocerSaveRecord">
    <vt:lpwstr>eyJoZGlkIjoiMWY3MjliM2ZjZjFkYzVmNDQwYzA5ZTZmZGNhMmYwZDgiLCJ1c2VySWQiOiIxNzcxNzk1NjcxIn0=</vt:lpwstr>
  </property>
</Properties>
</file>