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hint="eastAsia"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8"/>
        <w:tabs>
          <w:tab w:val="left" w:pos="2472"/>
        </w:tabs>
        <w:spacing w:line="320" w:lineRule="exact"/>
        <w:ind w:firstLine="420" w:firstLineChars="200"/>
        <w:rPr>
          <w:rFonts w:hint="eastAsia"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w:t>
      </w:r>
      <w:r>
        <w:rPr>
          <w:rFonts w:hint="eastAsia" w:ascii="仿宋" w:hAnsi="仿宋" w:eastAsia="仿宋" w:cs="仿宋"/>
          <w:szCs w:val="21"/>
          <w:lang w:val="en-US" w:eastAsia="zh-CN"/>
        </w:rPr>
        <w:t>谈判</w:t>
      </w:r>
      <w:r>
        <w:rPr>
          <w:rFonts w:hint="eastAsia" w:ascii="仿宋" w:hAnsi="仿宋" w:eastAsia="仿宋" w:cs="仿宋"/>
          <w:szCs w:val="21"/>
        </w:rPr>
        <w:t>第一轮每个标段实质性响应人不足三家则按流标处理，谈判第二轮每个项目实质性响应人满足一家或以上，</w:t>
      </w:r>
      <w:r>
        <w:rPr>
          <w:rFonts w:hint="eastAsia" w:ascii="仿宋" w:hAnsi="仿宋" w:eastAsia="仿宋" w:cs="仿宋"/>
          <w:szCs w:val="21"/>
          <w:lang w:val="en-US" w:eastAsia="zh-CN"/>
        </w:rPr>
        <w:t>可进行谈判。</w:t>
      </w:r>
      <w:r>
        <w:rPr>
          <w:rFonts w:hint="eastAsia" w:ascii="仿宋" w:hAnsi="仿宋" w:eastAsia="仿宋" w:cs="仿宋"/>
          <w:szCs w:val="21"/>
        </w:rPr>
        <w:t>下列各项评审内容及标准均为招标文件的实质性要求。</w:t>
      </w:r>
    </w:p>
    <w:tbl>
      <w:tblPr>
        <w:tblStyle w:val="9"/>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noWrap w:val="0"/>
            <w:vAlign w:val="center"/>
          </w:tcPr>
          <w:p w14:paraId="5B444D15">
            <w:pPr>
              <w:spacing w:before="100" w:beforeAutospacing="1" w:after="100" w:afterAutospacing="1" w:line="240" w:lineRule="exact"/>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noWrap w:val="0"/>
            <w:vAlign w:val="center"/>
          </w:tcPr>
          <w:p w14:paraId="5E18BF9B">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1</w:t>
            </w:r>
          </w:p>
        </w:tc>
        <w:tc>
          <w:tcPr>
            <w:tcW w:w="9356" w:type="dxa"/>
            <w:noWrap w:val="0"/>
            <w:vAlign w:val="center"/>
          </w:tcPr>
          <w:p w14:paraId="58DB64F5">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noWrap w:val="0"/>
            <w:vAlign w:val="center"/>
          </w:tcPr>
          <w:p w14:paraId="23559382">
            <w:pPr>
              <w:spacing w:before="100" w:beforeAutospacing="1" w:after="100" w:afterAutospacing="1" w:line="260" w:lineRule="exact"/>
              <w:jc w:val="center"/>
              <w:rPr>
                <w:rFonts w:hint="eastAsia"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noWrap w:val="0"/>
            <w:vAlign w:val="center"/>
          </w:tcPr>
          <w:p w14:paraId="75F384F4">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75E276B">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1.2</w:t>
            </w:r>
          </w:p>
        </w:tc>
        <w:tc>
          <w:tcPr>
            <w:tcW w:w="9356" w:type="dxa"/>
            <w:noWrap w:val="0"/>
            <w:vAlign w:val="center"/>
          </w:tcPr>
          <w:p w14:paraId="106B0E5E">
            <w:pPr>
              <w:spacing w:line="260" w:lineRule="exact"/>
              <w:jc w:val="left"/>
              <w:rPr>
                <w:rFonts w:hint="eastAsia"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hint="eastAsia" w:ascii="仿宋" w:hAnsi="仿宋" w:eastAsia="仿宋" w:cs="仿宋"/>
                <w:szCs w:val="21"/>
              </w:rPr>
            </w:pPr>
            <w:r>
              <w:rPr>
                <w:rFonts w:hint="eastAsia" w:ascii="仿宋" w:hAnsi="仿宋" w:eastAsia="仿宋" w:cs="仿宋"/>
                <w:szCs w:val="21"/>
              </w:rPr>
              <w:t>1）202</w:t>
            </w:r>
            <w:r>
              <w:rPr>
                <w:rFonts w:hint="eastAsia" w:ascii="仿宋" w:hAnsi="仿宋" w:eastAsia="仿宋" w:cs="仿宋"/>
                <w:szCs w:val="21"/>
                <w:lang w:val="en-US" w:eastAsia="zh-CN"/>
              </w:rPr>
              <w:t>3</w:t>
            </w:r>
            <w:r>
              <w:rPr>
                <w:rFonts w:hint="eastAsia" w:ascii="仿宋" w:hAnsi="仿宋" w:eastAsia="仿宋" w:cs="仿宋"/>
                <w:szCs w:val="21"/>
              </w:rPr>
              <w:t>年-202</w:t>
            </w:r>
            <w:r>
              <w:rPr>
                <w:rFonts w:hint="eastAsia" w:ascii="仿宋" w:hAnsi="仿宋" w:eastAsia="仿宋" w:cs="仿宋"/>
                <w:szCs w:val="21"/>
                <w:lang w:val="en-US" w:eastAsia="zh-CN"/>
              </w:rPr>
              <w:t>5</w:t>
            </w:r>
            <w:r>
              <w:rPr>
                <w:rFonts w:hint="eastAsia" w:ascii="仿宋" w:hAnsi="仿宋" w:eastAsia="仿宋" w:cs="仿宋"/>
                <w:szCs w:val="21"/>
              </w:rPr>
              <w:t>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hint="eastAsia"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hint="eastAsia"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14:paraId="64BA8775">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1.3</w:t>
            </w:r>
          </w:p>
        </w:tc>
        <w:tc>
          <w:tcPr>
            <w:tcW w:w="9356" w:type="dxa"/>
            <w:noWrap w:val="0"/>
            <w:vAlign w:val="center"/>
          </w:tcPr>
          <w:p w14:paraId="3E4BF145">
            <w:pPr>
              <w:spacing w:before="100" w:beforeAutospacing="1" w:after="100" w:afterAutospacing="1" w:line="260" w:lineRule="exact"/>
              <w:jc w:val="left"/>
              <w:rPr>
                <w:rFonts w:hint="eastAsia" w:ascii="仿宋" w:hAnsi="仿宋" w:eastAsia="仿宋" w:cs="仿宋"/>
                <w:szCs w:val="21"/>
              </w:rPr>
            </w:pPr>
            <w:bookmarkStart w:id="2" w:name="OLE_LINK9"/>
            <w:bookmarkStart w:id="3" w:name="OLE_LINK10"/>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230C9E3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1.4</w:t>
            </w:r>
          </w:p>
        </w:tc>
        <w:tc>
          <w:tcPr>
            <w:tcW w:w="9356" w:type="dxa"/>
            <w:noWrap w:val="0"/>
            <w:vAlign w:val="center"/>
          </w:tcPr>
          <w:p w14:paraId="6362DC39">
            <w:pPr>
              <w:spacing w:line="260" w:lineRule="exact"/>
              <w:jc w:val="left"/>
              <w:rPr>
                <w:rFonts w:hint="eastAsia"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w:t>
            </w:r>
            <w:r>
              <w:rPr>
                <w:rFonts w:hint="eastAsia" w:ascii="仿宋" w:hAnsi="仿宋" w:eastAsia="仿宋" w:cs="仿宋"/>
                <w:b/>
                <w:szCs w:val="21"/>
                <w:lang w:val="en-US" w:eastAsia="zh-CN"/>
              </w:rPr>
              <w:t>4</w:t>
            </w:r>
            <w:bookmarkStart w:id="9" w:name="_GoBack"/>
            <w:bookmarkEnd w:id="9"/>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hint="eastAsia"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p>
          <w:p w14:paraId="51386365">
            <w:pPr>
              <w:spacing w:line="260" w:lineRule="exact"/>
              <w:jc w:val="left"/>
              <w:rPr>
                <w:rFonts w:hint="eastAsia"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的投标人，提供依法缴纳税收和社会保障资金的承诺书。</w:t>
            </w:r>
          </w:p>
          <w:p w14:paraId="75F60EE7">
            <w:pPr>
              <w:spacing w:line="260" w:lineRule="exact"/>
              <w:jc w:val="left"/>
              <w:rPr>
                <w:rFonts w:hint="eastAsia"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B78486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1.5</w:t>
            </w:r>
          </w:p>
        </w:tc>
        <w:tc>
          <w:tcPr>
            <w:tcW w:w="9356" w:type="dxa"/>
            <w:noWrap w:val="0"/>
            <w:vAlign w:val="center"/>
          </w:tcPr>
          <w:p w14:paraId="7E19E128">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noWrap w:val="0"/>
            <w:vAlign w:val="center"/>
          </w:tcPr>
          <w:p w14:paraId="0AB59451">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2</w:t>
            </w:r>
          </w:p>
        </w:tc>
        <w:tc>
          <w:tcPr>
            <w:tcW w:w="9356" w:type="dxa"/>
            <w:noWrap w:val="0"/>
            <w:vAlign w:val="center"/>
          </w:tcPr>
          <w:p w14:paraId="77BEBBBC">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noWrap w:val="0"/>
            <w:vAlign w:val="center"/>
          </w:tcPr>
          <w:p w14:paraId="5F312043">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2.1</w:t>
            </w:r>
          </w:p>
        </w:tc>
        <w:tc>
          <w:tcPr>
            <w:tcW w:w="9356" w:type="dxa"/>
            <w:noWrap w:val="0"/>
            <w:vAlign w:val="center"/>
          </w:tcPr>
          <w:p w14:paraId="604A08CB">
            <w:pPr>
              <w:spacing w:before="100" w:beforeAutospacing="1" w:after="100" w:afterAutospacing="1" w:line="260" w:lineRule="exact"/>
              <w:jc w:val="left"/>
              <w:rPr>
                <w:rFonts w:hint="eastAsia"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5835ACD6">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2.2</w:t>
            </w:r>
          </w:p>
        </w:tc>
        <w:tc>
          <w:tcPr>
            <w:tcW w:w="9356" w:type="dxa"/>
            <w:noWrap w:val="0"/>
            <w:vAlign w:val="center"/>
          </w:tcPr>
          <w:p w14:paraId="54D88016">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noWrap w:val="0"/>
            <w:vAlign w:val="center"/>
          </w:tcPr>
          <w:p w14:paraId="5E9FE947">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2.3</w:t>
            </w:r>
          </w:p>
        </w:tc>
        <w:tc>
          <w:tcPr>
            <w:tcW w:w="9356" w:type="dxa"/>
            <w:noWrap w:val="0"/>
            <w:vAlign w:val="center"/>
          </w:tcPr>
          <w:p w14:paraId="5F3B925C">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noWrap w:val="0"/>
            <w:vAlign w:val="center"/>
          </w:tcPr>
          <w:p w14:paraId="65A6F1BF">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2.4</w:t>
            </w:r>
          </w:p>
        </w:tc>
        <w:tc>
          <w:tcPr>
            <w:tcW w:w="9356" w:type="dxa"/>
            <w:noWrap w:val="0"/>
            <w:vAlign w:val="center"/>
          </w:tcPr>
          <w:p w14:paraId="42F2A57C">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noWrap w:val="0"/>
            <w:vAlign w:val="center"/>
          </w:tcPr>
          <w:p w14:paraId="669918BC">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3</w:t>
            </w:r>
          </w:p>
        </w:tc>
        <w:tc>
          <w:tcPr>
            <w:tcW w:w="9356" w:type="dxa"/>
            <w:noWrap w:val="0"/>
            <w:vAlign w:val="center"/>
          </w:tcPr>
          <w:p w14:paraId="1F08F671">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hint="eastAsia"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hint="eastAsia" w:ascii="楷体" w:hAnsi="楷体" w:eastAsia="楷体" w:cs="楷体"/>
          <w:b/>
          <w:bCs/>
          <w:sz w:val="28"/>
          <w:szCs w:val="28"/>
        </w:rPr>
      </w:pPr>
      <w:r>
        <w:rPr>
          <w:rFonts w:hint="eastAsia" w:ascii="楷体" w:hAnsi="楷体" w:eastAsia="楷体" w:cs="楷体"/>
          <w:b/>
          <w:bCs/>
          <w:sz w:val="28"/>
          <w:szCs w:val="28"/>
        </w:rPr>
        <w:t>评标方法（综合评分法）</w:t>
      </w:r>
    </w:p>
    <w:tbl>
      <w:tblPr>
        <w:tblStyle w:val="9"/>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noWrap w:val="0"/>
            <w:vAlign w:val="center"/>
          </w:tcPr>
          <w:p w14:paraId="0ED6CAC3">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评审程序</w:t>
            </w:r>
          </w:p>
        </w:tc>
        <w:tc>
          <w:tcPr>
            <w:tcW w:w="7934" w:type="dxa"/>
            <w:gridSpan w:val="2"/>
            <w:noWrap w:val="0"/>
            <w:vAlign w:val="center"/>
          </w:tcPr>
          <w:p w14:paraId="6C6DD98E">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noWrap w:val="0"/>
            <w:vAlign w:val="center"/>
          </w:tcPr>
          <w:p w14:paraId="76018D61">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符合性评审标准</w:t>
            </w:r>
          </w:p>
        </w:tc>
        <w:tc>
          <w:tcPr>
            <w:tcW w:w="7934" w:type="dxa"/>
            <w:gridSpan w:val="2"/>
            <w:noWrap w:val="0"/>
            <w:vAlign w:val="center"/>
          </w:tcPr>
          <w:p w14:paraId="03F19572">
            <w:pPr>
              <w:spacing w:before="100" w:beforeAutospacing="1" w:after="100" w:afterAutospacing="1"/>
              <w:jc w:val="left"/>
              <w:rPr>
                <w:rFonts w:hint="eastAsia"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noWrap w:val="0"/>
            <w:vAlign w:val="center"/>
          </w:tcPr>
          <w:p w14:paraId="3F2A5D0B">
            <w:pPr>
              <w:spacing w:before="100" w:beforeAutospacing="1" w:after="100" w:afterAutospacing="1"/>
              <w:rPr>
                <w:rFonts w:hint="eastAsia" w:ascii="仿宋" w:hAnsi="仿宋" w:eastAsia="仿宋" w:cs="仿宋"/>
                <w:szCs w:val="21"/>
              </w:rPr>
            </w:pPr>
          </w:p>
        </w:tc>
        <w:tc>
          <w:tcPr>
            <w:tcW w:w="2245" w:type="dxa"/>
            <w:noWrap w:val="0"/>
            <w:vAlign w:val="center"/>
          </w:tcPr>
          <w:p w14:paraId="536B6F17">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投标文件签署、盖章</w:t>
            </w:r>
          </w:p>
        </w:tc>
        <w:tc>
          <w:tcPr>
            <w:tcW w:w="5689" w:type="dxa"/>
            <w:noWrap w:val="0"/>
            <w:vAlign w:val="center"/>
          </w:tcPr>
          <w:p w14:paraId="4938CDBB">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noWrap w:val="0"/>
            <w:vAlign w:val="center"/>
          </w:tcPr>
          <w:p w14:paraId="36AAC72C">
            <w:pPr>
              <w:spacing w:before="100" w:beforeAutospacing="1" w:after="100" w:afterAutospacing="1"/>
              <w:rPr>
                <w:rFonts w:hint="eastAsia" w:ascii="仿宋" w:hAnsi="仿宋" w:eastAsia="仿宋" w:cs="仿宋"/>
                <w:szCs w:val="21"/>
              </w:rPr>
            </w:pPr>
          </w:p>
        </w:tc>
        <w:tc>
          <w:tcPr>
            <w:tcW w:w="2245" w:type="dxa"/>
            <w:noWrap w:val="0"/>
            <w:vAlign w:val="center"/>
          </w:tcPr>
          <w:p w14:paraId="27D5FDF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noWrap w:val="0"/>
            <w:vAlign w:val="center"/>
          </w:tcPr>
          <w:p w14:paraId="77616790">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2776AEB3">
            <w:pPr>
              <w:spacing w:before="100" w:beforeAutospacing="1" w:after="100" w:afterAutospacing="1"/>
              <w:rPr>
                <w:rFonts w:hint="eastAsia" w:ascii="仿宋" w:hAnsi="仿宋" w:eastAsia="仿宋" w:cs="仿宋"/>
                <w:szCs w:val="21"/>
              </w:rPr>
            </w:pPr>
          </w:p>
        </w:tc>
        <w:tc>
          <w:tcPr>
            <w:tcW w:w="2245" w:type="dxa"/>
            <w:noWrap w:val="0"/>
            <w:vAlign w:val="center"/>
          </w:tcPr>
          <w:p w14:paraId="6210359C">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投标报价</w:t>
            </w:r>
          </w:p>
        </w:tc>
        <w:tc>
          <w:tcPr>
            <w:tcW w:w="5689" w:type="dxa"/>
            <w:noWrap w:val="0"/>
            <w:vAlign w:val="center"/>
          </w:tcPr>
          <w:p w14:paraId="25978EE5">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noWrap w:val="0"/>
            <w:vAlign w:val="center"/>
          </w:tcPr>
          <w:p w14:paraId="50FCDB86">
            <w:pPr>
              <w:spacing w:before="100" w:beforeAutospacing="1" w:after="100" w:afterAutospacing="1"/>
              <w:rPr>
                <w:rFonts w:hint="eastAsia" w:ascii="仿宋" w:hAnsi="仿宋" w:eastAsia="仿宋" w:cs="仿宋"/>
                <w:szCs w:val="21"/>
              </w:rPr>
            </w:pPr>
          </w:p>
        </w:tc>
        <w:tc>
          <w:tcPr>
            <w:tcW w:w="2245" w:type="dxa"/>
            <w:noWrap w:val="0"/>
            <w:vAlign w:val="center"/>
          </w:tcPr>
          <w:p w14:paraId="28F97DF4">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不能接受的附加条件</w:t>
            </w:r>
          </w:p>
        </w:tc>
        <w:tc>
          <w:tcPr>
            <w:tcW w:w="5689" w:type="dxa"/>
            <w:noWrap w:val="0"/>
            <w:vAlign w:val="center"/>
          </w:tcPr>
          <w:p w14:paraId="4B94EF4A">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noWrap w:val="0"/>
            <w:vAlign w:val="center"/>
          </w:tcPr>
          <w:p w14:paraId="55149BA9">
            <w:pPr>
              <w:spacing w:before="100" w:beforeAutospacing="1" w:after="100" w:afterAutospacing="1"/>
              <w:rPr>
                <w:rFonts w:hint="eastAsia" w:ascii="仿宋" w:hAnsi="仿宋" w:eastAsia="仿宋" w:cs="仿宋"/>
                <w:szCs w:val="21"/>
              </w:rPr>
            </w:pPr>
          </w:p>
        </w:tc>
        <w:tc>
          <w:tcPr>
            <w:tcW w:w="2245" w:type="dxa"/>
            <w:noWrap w:val="0"/>
            <w:vAlign w:val="center"/>
          </w:tcPr>
          <w:p w14:paraId="5F086F90">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其它实质性条件</w:t>
            </w:r>
          </w:p>
        </w:tc>
        <w:tc>
          <w:tcPr>
            <w:tcW w:w="5689" w:type="dxa"/>
            <w:noWrap w:val="0"/>
            <w:vAlign w:val="center"/>
          </w:tcPr>
          <w:p w14:paraId="40F86A46">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未实质性响应招标文件中标注</w:t>
            </w:r>
            <w:r>
              <w:rPr>
                <w:rFonts w:hint="eastAsia" w:ascii="仿宋" w:hAnsi="仿宋" w:eastAsia="仿宋" w:cs="仿宋"/>
                <w:szCs w:val="21"/>
                <w:lang w:val="en-US" w:eastAsia="zh-CN"/>
              </w:rPr>
              <w:t>实质性</w:t>
            </w:r>
            <w:r>
              <w:rPr>
                <w:rFonts w:hint="eastAsia" w:ascii="仿宋" w:hAnsi="仿宋" w:eastAsia="仿宋" w:cs="仿宋"/>
                <w:szCs w:val="21"/>
              </w:rPr>
              <w:t>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03952F7A">
            <w:pPr>
              <w:spacing w:before="100" w:beforeAutospacing="1" w:after="100" w:afterAutospacing="1"/>
              <w:rPr>
                <w:rFonts w:hint="eastAsia" w:ascii="仿宋" w:hAnsi="仿宋" w:eastAsia="仿宋" w:cs="仿宋"/>
                <w:szCs w:val="21"/>
              </w:rPr>
            </w:pPr>
          </w:p>
        </w:tc>
        <w:tc>
          <w:tcPr>
            <w:tcW w:w="2245" w:type="dxa"/>
            <w:noWrap w:val="0"/>
            <w:vAlign w:val="center"/>
          </w:tcPr>
          <w:p w14:paraId="51B472B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其他无效情形</w:t>
            </w:r>
          </w:p>
        </w:tc>
        <w:tc>
          <w:tcPr>
            <w:tcW w:w="5689" w:type="dxa"/>
            <w:noWrap w:val="0"/>
            <w:vAlign w:val="center"/>
          </w:tcPr>
          <w:p w14:paraId="75E267B9">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noWrap w:val="0"/>
            <w:vAlign w:val="center"/>
          </w:tcPr>
          <w:p w14:paraId="50C5DA5B">
            <w:pPr>
              <w:spacing w:before="100" w:beforeAutospacing="1" w:after="100" w:afterAutospacing="1"/>
              <w:jc w:val="left"/>
              <w:rPr>
                <w:rFonts w:hint="eastAsia" w:ascii="仿宋" w:hAnsi="仿宋" w:eastAsia="仿宋" w:cs="仿宋"/>
                <w:szCs w:val="21"/>
                <w:lang w:eastAsia="zh-CN"/>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r>
              <w:rPr>
                <w:rFonts w:hint="eastAsia" w:ascii="仿宋" w:hAnsi="仿宋" w:eastAsia="仿宋" w:cs="仿宋"/>
                <w:szCs w:val="21"/>
                <w:lang w:eastAsia="zh-CN"/>
              </w:rPr>
              <w:t>。</w:t>
            </w:r>
          </w:p>
        </w:tc>
      </w:tr>
    </w:tbl>
    <w:p w14:paraId="55D3EB64">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p>
    <w:tbl>
      <w:tblPr>
        <w:tblStyle w:val="9"/>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6807"/>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277"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因</w:t>
            </w:r>
            <w:r>
              <w:rPr>
                <w:rFonts w:hint="eastAsia" w:ascii="仿宋" w:hAnsi="仿宋" w:eastAsia="仿宋" w:cs="仿宋"/>
                <w:b/>
                <w:szCs w:val="21"/>
                <w:lang w:val="en-US" w:eastAsia="zh-CN"/>
              </w:rPr>
              <w:t xml:space="preserve"> </w:t>
            </w:r>
            <w:r>
              <w:rPr>
                <w:rFonts w:hint="eastAsia" w:ascii="仿宋" w:hAnsi="仿宋" w:eastAsia="仿宋" w:cs="仿宋"/>
                <w:b/>
                <w:szCs w:val="21"/>
              </w:rPr>
              <w:t>素</w:t>
            </w:r>
          </w:p>
        </w:tc>
        <w:tc>
          <w:tcPr>
            <w:tcW w:w="6807"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标</w:t>
            </w:r>
            <w:r>
              <w:rPr>
                <w:rFonts w:hint="eastAsia" w:ascii="仿宋" w:hAnsi="仿宋" w:eastAsia="仿宋" w:cs="仿宋"/>
                <w:b/>
                <w:szCs w:val="21"/>
                <w:lang w:val="en-US" w:eastAsia="zh-CN"/>
              </w:rPr>
              <w:t xml:space="preserve"> </w:t>
            </w:r>
            <w:r>
              <w:rPr>
                <w:rFonts w:hint="eastAsia" w:ascii="仿宋" w:hAnsi="仿宋" w:eastAsia="仿宋" w:cs="仿宋"/>
                <w:b/>
                <w:szCs w:val="21"/>
              </w:rPr>
              <w:t>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9E0E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服务体系、规范化管理体系、现场服务</w:t>
            </w:r>
            <w:r>
              <w:rPr>
                <w:rFonts w:hint="eastAsia" w:ascii="楷体" w:hAnsi="楷体" w:eastAsia="楷体" w:cs="楷体"/>
                <w:color w:val="000000"/>
                <w:sz w:val="21"/>
                <w:szCs w:val="21"/>
                <w:lang w:eastAsia="zh-CN"/>
              </w:rPr>
              <w:t>、</w:t>
            </w:r>
            <w:r>
              <w:rPr>
                <w:rFonts w:hint="eastAsia" w:ascii="楷体" w:hAnsi="楷体" w:eastAsia="楷体" w:cs="楷体"/>
                <w:color w:val="000000"/>
                <w:sz w:val="21"/>
                <w:szCs w:val="21"/>
                <w:lang w:val="en-US" w:eastAsia="zh-CN"/>
              </w:rPr>
              <w:t>实施方案及</w:t>
            </w:r>
            <w:r>
              <w:rPr>
                <w:rFonts w:hint="eastAsia" w:ascii="楷体" w:hAnsi="楷体" w:eastAsia="楷体" w:cs="楷体"/>
                <w:color w:val="000000"/>
                <w:sz w:val="21"/>
                <w:szCs w:val="21"/>
              </w:rPr>
              <w:t>售后服务方案</w:t>
            </w:r>
          </w:p>
          <w:p w14:paraId="4A4759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13</w:t>
            </w:r>
            <w:r>
              <w:rPr>
                <w:rFonts w:hint="eastAsia" w:ascii="楷体" w:hAnsi="楷体" w:eastAsia="楷体" w:cs="楷体"/>
                <w:color w:val="000000"/>
                <w:sz w:val="21"/>
                <w:szCs w:val="21"/>
              </w:rPr>
              <w:t>分）</w:t>
            </w:r>
          </w:p>
        </w:tc>
        <w:tc>
          <w:tcPr>
            <w:tcW w:w="6807" w:type="dxa"/>
            <w:tcBorders>
              <w:tl2br w:val="nil"/>
              <w:tr2bl w:val="nil"/>
            </w:tcBorders>
            <w:vAlign w:val="center"/>
          </w:tcPr>
          <w:p w14:paraId="2ED526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第一个档次（</w:t>
            </w:r>
            <w:r>
              <w:rPr>
                <w:rFonts w:hint="eastAsia" w:ascii="仿宋" w:hAnsi="仿宋" w:eastAsia="仿宋" w:cs="仿宋"/>
                <w:szCs w:val="21"/>
                <w:lang w:val="en-US" w:eastAsia="zh-CN"/>
              </w:rPr>
              <w:t>10-13</w:t>
            </w:r>
            <w:r>
              <w:rPr>
                <w:rFonts w:hint="eastAsia" w:ascii="仿宋" w:hAnsi="仿宋" w:eastAsia="仿宋" w:cs="仿宋"/>
                <w:szCs w:val="21"/>
                <w:lang w:eastAsia="zh-CN"/>
              </w:rPr>
              <w:t>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第二个档次（</w:t>
            </w:r>
            <w:r>
              <w:rPr>
                <w:rFonts w:hint="eastAsia" w:ascii="仿宋" w:hAnsi="仿宋" w:eastAsia="仿宋" w:cs="仿宋"/>
                <w:szCs w:val="21"/>
                <w:lang w:val="en-US" w:eastAsia="zh-CN"/>
              </w:rPr>
              <w:t>5-9</w:t>
            </w:r>
            <w:r>
              <w:rPr>
                <w:rFonts w:hint="eastAsia" w:ascii="仿宋" w:hAnsi="仿宋" w:eastAsia="仿宋" w:cs="仿宋"/>
                <w:szCs w:val="21"/>
                <w:lang w:eastAsia="zh-CN"/>
              </w:rPr>
              <w:t>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第三个档次（</w:t>
            </w:r>
            <w:r>
              <w:rPr>
                <w:rFonts w:hint="eastAsia" w:ascii="仿宋" w:hAnsi="仿宋" w:eastAsia="仿宋" w:cs="仿宋"/>
                <w:szCs w:val="21"/>
                <w:lang w:val="en-US" w:eastAsia="zh-CN"/>
              </w:rPr>
              <w:t>0-4</w:t>
            </w:r>
            <w:r>
              <w:rPr>
                <w:rFonts w:hint="eastAsia" w:ascii="仿宋" w:hAnsi="仿宋" w:eastAsia="仿宋" w:cs="仿宋"/>
                <w:szCs w:val="21"/>
                <w:lang w:eastAsia="zh-CN"/>
              </w:rPr>
              <w:t>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862C0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技术参数</w:t>
            </w:r>
          </w:p>
          <w:p w14:paraId="4433F9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宋体" w:eastAsia="方正仿宋_GBK" w:cs="宋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50</w:t>
            </w:r>
            <w:r>
              <w:rPr>
                <w:rFonts w:hint="eastAsia" w:ascii="楷体" w:hAnsi="楷体" w:eastAsia="楷体" w:cs="楷体"/>
                <w:color w:val="000000"/>
                <w:sz w:val="21"/>
                <w:szCs w:val="21"/>
              </w:rPr>
              <w:t>分）</w:t>
            </w:r>
          </w:p>
        </w:tc>
        <w:tc>
          <w:tcPr>
            <w:tcW w:w="6807" w:type="dxa"/>
            <w:tcBorders>
              <w:tl2br w:val="nil"/>
              <w:tr2bl w:val="nil"/>
            </w:tcBorders>
            <w:vAlign w:val="center"/>
          </w:tcPr>
          <w:tbl>
            <w:tblPr>
              <w:tblStyle w:val="9"/>
              <w:tblW w:w="9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2"/>
            </w:tblGrid>
            <w:tr w14:paraId="0252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7" w:hRule="atLeast"/>
                <w:jc w:val="center"/>
              </w:trPr>
              <w:tc>
                <w:tcPr>
                  <w:tcW w:w="6842" w:type="dxa"/>
                  <w:tcBorders>
                    <w:tl2br w:val="nil"/>
                    <w:tr2bl w:val="nil"/>
                  </w:tcBorders>
                  <w:vAlign w:val="center"/>
                </w:tcPr>
                <w:p w14:paraId="2EF272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供应商响应产品的技术服务及功能完全满足招标公告技术要求/需求的，得</w:t>
                  </w:r>
                  <w:r>
                    <w:rPr>
                      <w:rFonts w:hint="eastAsia" w:ascii="仿宋" w:hAnsi="仿宋" w:eastAsia="仿宋" w:cs="仿宋"/>
                      <w:szCs w:val="21"/>
                      <w:lang w:val="en-US" w:eastAsia="zh-CN"/>
                    </w:rPr>
                    <w:t>50</w:t>
                  </w:r>
                  <w:r>
                    <w:rPr>
                      <w:rFonts w:hint="eastAsia" w:ascii="仿宋" w:hAnsi="仿宋" w:eastAsia="仿宋" w:cs="仿宋"/>
                      <w:szCs w:val="21"/>
                      <w:lang w:eastAsia="zh-CN"/>
                    </w:rPr>
                    <w:t>分，供应商每有一条重要参数不响应扣5分，每有一条一般参数不响应扣1分，分数扣完为止。技术和功能响应未描述或未提供相应支撑材料的，对应项不得分。（</w:t>
                  </w:r>
                  <w:r>
                    <w:rPr>
                      <w:rFonts w:hint="eastAsia" w:ascii="仿宋" w:hAnsi="仿宋" w:eastAsia="仿宋" w:cs="仿宋"/>
                      <w:szCs w:val="21"/>
                      <w:lang w:val="en-US" w:eastAsia="zh-CN"/>
                    </w:rPr>
                    <w:t>每项目具体扣分值已注明于附件技术参数中</w:t>
                  </w:r>
                  <w:r>
                    <w:rPr>
                      <w:rFonts w:hint="eastAsia" w:ascii="仿宋" w:hAnsi="仿宋" w:eastAsia="仿宋" w:cs="仿宋"/>
                      <w:szCs w:val="21"/>
                      <w:lang w:eastAsia="zh-CN"/>
                    </w:rPr>
                    <w:t>）</w:t>
                  </w:r>
                </w:p>
              </w:tc>
            </w:tr>
          </w:tbl>
          <w:p w14:paraId="509E2CD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5999B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lang w:val="en-US" w:eastAsia="zh-CN"/>
              </w:rPr>
              <w:t>交</w:t>
            </w:r>
            <w:r>
              <w:rPr>
                <w:rFonts w:hint="eastAsia" w:ascii="楷体" w:hAnsi="楷体" w:eastAsia="楷体" w:cs="楷体"/>
                <w:color w:val="000000"/>
                <w:sz w:val="21"/>
                <w:szCs w:val="21"/>
              </w:rPr>
              <w:t>货期</w:t>
            </w:r>
          </w:p>
          <w:p w14:paraId="3DCE11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rPr>
              <w:t>分）</w:t>
            </w:r>
          </w:p>
        </w:tc>
        <w:tc>
          <w:tcPr>
            <w:tcW w:w="6807" w:type="dxa"/>
            <w:tcBorders>
              <w:tl2br w:val="nil"/>
              <w:tr2bl w:val="nil"/>
            </w:tcBorders>
            <w:vAlign w:val="center"/>
          </w:tcPr>
          <w:p w14:paraId="79B85A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根据投标文件对商务指标</w:t>
            </w:r>
            <w:r>
              <w:rPr>
                <w:rFonts w:hint="eastAsia" w:ascii="仿宋" w:hAnsi="仿宋" w:eastAsia="仿宋" w:cs="仿宋"/>
                <w:szCs w:val="21"/>
                <w:lang w:val="en-US" w:eastAsia="zh-CN"/>
              </w:rPr>
              <w:t>中交货期的</w:t>
            </w:r>
            <w:r>
              <w:rPr>
                <w:rFonts w:hint="eastAsia" w:ascii="仿宋" w:hAnsi="仿宋" w:eastAsia="仿宋" w:cs="仿宋"/>
                <w:szCs w:val="21"/>
                <w:lang w:eastAsia="zh-CN"/>
              </w:rPr>
              <w:t>响应程度进行评分，</w:t>
            </w:r>
            <w:r>
              <w:rPr>
                <w:rFonts w:hint="eastAsia" w:ascii="仿宋" w:hAnsi="仿宋" w:eastAsia="仿宋" w:cs="仿宋"/>
                <w:szCs w:val="21"/>
                <w:lang w:val="en-US" w:eastAsia="zh-CN"/>
              </w:rPr>
              <w:t>满足要求得1分，</w:t>
            </w:r>
            <w:r>
              <w:rPr>
                <w:rFonts w:hint="eastAsia" w:ascii="仿宋" w:hAnsi="仿宋" w:eastAsia="仿宋" w:cs="仿宋"/>
                <w:szCs w:val="21"/>
                <w:lang w:eastAsia="zh-CN"/>
              </w:rPr>
              <w:t>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3385C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质保期</w:t>
            </w:r>
          </w:p>
          <w:p w14:paraId="4AF891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highlight w:val="none"/>
              </w:rPr>
            </w:pPr>
            <w:r>
              <w:rPr>
                <w:rFonts w:hint="eastAsia" w:ascii="楷体" w:hAnsi="楷体" w:eastAsia="楷体" w:cs="楷体"/>
                <w:color w:val="000000"/>
                <w:sz w:val="21"/>
                <w:szCs w:val="21"/>
                <w:highlight w:val="none"/>
              </w:rPr>
              <w:t>（满分</w:t>
            </w:r>
            <w:r>
              <w:rPr>
                <w:rFonts w:hint="eastAsia" w:ascii="楷体" w:hAnsi="楷体" w:eastAsia="楷体" w:cs="楷体"/>
                <w:color w:val="000000"/>
                <w:sz w:val="21"/>
                <w:szCs w:val="21"/>
                <w:highlight w:val="none"/>
                <w:lang w:val="en-US" w:eastAsia="zh-CN"/>
              </w:rPr>
              <w:t>3</w:t>
            </w:r>
            <w:r>
              <w:rPr>
                <w:rFonts w:hint="eastAsia" w:ascii="楷体" w:hAnsi="楷体" w:eastAsia="楷体" w:cs="楷体"/>
                <w:color w:val="000000"/>
                <w:sz w:val="21"/>
                <w:szCs w:val="21"/>
                <w:highlight w:val="none"/>
              </w:rPr>
              <w:t>分）</w:t>
            </w:r>
          </w:p>
        </w:tc>
        <w:tc>
          <w:tcPr>
            <w:tcW w:w="6807" w:type="dxa"/>
            <w:tcBorders>
              <w:tl2br w:val="nil"/>
              <w:tr2bl w:val="nil"/>
            </w:tcBorders>
            <w:vAlign w:val="center"/>
          </w:tcPr>
          <w:p w14:paraId="23BE7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lang w:eastAsia="zh-CN"/>
              </w:rPr>
              <w:t>年得基础分</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分，每增加一年（12个月，不足12个月的不计）加</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w:t>
            </w:r>
            <w:r>
              <w:rPr>
                <w:rFonts w:hint="eastAsia" w:ascii="仿宋" w:hAnsi="仿宋" w:eastAsia="仿宋" w:cs="仿宋"/>
                <w:szCs w:val="21"/>
                <w:highlight w:val="none"/>
                <w:lang w:val="en-US" w:eastAsia="zh-CN"/>
              </w:rPr>
              <w:t>加满为止</w:t>
            </w:r>
            <w:r>
              <w:rPr>
                <w:rFonts w:hint="eastAsia" w:ascii="仿宋" w:hAnsi="仿宋" w:eastAsia="仿宋" w:cs="仿宋"/>
                <w:szCs w:val="21"/>
                <w:highlight w:val="none"/>
                <w:lang w:eastAsia="zh-CN"/>
              </w:rPr>
              <w:t>。</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208EC1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业绩</w:t>
            </w:r>
          </w:p>
          <w:p w14:paraId="3F104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6BD27A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w:t>
            </w:r>
            <w:r>
              <w:rPr>
                <w:rFonts w:hint="eastAsia" w:ascii="仿宋" w:hAnsi="仿宋" w:eastAsia="仿宋" w:cs="仿宋"/>
                <w:szCs w:val="21"/>
                <w:lang w:val="en-US" w:eastAsia="zh-CN"/>
              </w:rPr>
              <w:t>投标产品</w:t>
            </w:r>
            <w:r>
              <w:rPr>
                <w:rFonts w:hint="eastAsia" w:ascii="仿宋" w:hAnsi="仿宋" w:eastAsia="仿宋" w:cs="仿宋"/>
                <w:szCs w:val="21"/>
                <w:lang w:eastAsia="zh-CN"/>
              </w:rPr>
              <w:t>的业绩，提供</w:t>
            </w:r>
            <w:r>
              <w:rPr>
                <w:rFonts w:hint="eastAsia" w:ascii="仿宋" w:hAnsi="仿宋" w:eastAsia="仿宋" w:cs="仿宋"/>
                <w:szCs w:val="21"/>
                <w:lang w:val="en-US" w:eastAsia="zh-CN"/>
              </w:rPr>
              <w:t>1</w:t>
            </w:r>
            <w:r>
              <w:rPr>
                <w:rFonts w:hint="eastAsia" w:ascii="仿宋" w:hAnsi="仿宋" w:eastAsia="仿宋" w:cs="仿宋"/>
                <w:szCs w:val="21"/>
                <w:lang w:eastAsia="zh-CN"/>
              </w:rPr>
              <w:t>个得基础分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分，每增加一个得</w:t>
            </w:r>
            <w:r>
              <w:rPr>
                <w:rFonts w:hint="eastAsia" w:ascii="仿宋" w:hAnsi="仿宋" w:eastAsia="仿宋" w:cs="仿宋"/>
                <w:szCs w:val="21"/>
                <w:lang w:val="en-US" w:eastAsia="zh-CN"/>
              </w:rPr>
              <w:t>1</w:t>
            </w:r>
            <w:r>
              <w:rPr>
                <w:rFonts w:hint="eastAsia" w:ascii="仿宋" w:hAnsi="仿宋" w:eastAsia="仿宋" w:cs="仿宋"/>
                <w:szCs w:val="21"/>
                <w:lang w:eastAsia="zh-CN"/>
              </w:rPr>
              <w:t>分，满分</w:t>
            </w:r>
            <w:r>
              <w:rPr>
                <w:rFonts w:hint="eastAsia" w:ascii="仿宋" w:hAnsi="仿宋" w:eastAsia="仿宋" w:cs="仿宋"/>
                <w:szCs w:val="21"/>
                <w:lang w:val="en-US" w:eastAsia="zh-CN"/>
              </w:rPr>
              <w:t>3</w:t>
            </w:r>
            <w:r>
              <w:rPr>
                <w:rFonts w:hint="eastAsia" w:ascii="仿宋" w:hAnsi="仿宋" w:eastAsia="仿宋" w:cs="仿宋"/>
                <w:szCs w:val="21"/>
                <w:lang w:eastAsia="zh-CN"/>
              </w:rPr>
              <w:t>分。（</w:t>
            </w:r>
            <w:r>
              <w:rPr>
                <w:rFonts w:hint="eastAsia" w:ascii="仿宋" w:hAnsi="仿宋" w:eastAsia="仿宋" w:cs="仿宋"/>
                <w:szCs w:val="21"/>
                <w:lang w:val="en-US" w:eastAsia="zh-CN"/>
              </w:rPr>
              <w:t>以</w:t>
            </w: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年至今签订合同</w:t>
            </w:r>
            <w:r>
              <w:rPr>
                <w:rFonts w:hint="eastAsia" w:ascii="仿宋" w:hAnsi="仿宋" w:eastAsia="仿宋" w:cs="仿宋"/>
                <w:szCs w:val="21"/>
                <w:lang w:val="en-US" w:eastAsia="zh-CN"/>
              </w:rPr>
              <w:t>或发票或中标通知书等能证明业绩的复印件作为证明材料，加盖公章</w:t>
            </w:r>
            <w:r>
              <w:rPr>
                <w:rFonts w:hint="eastAsia" w:ascii="仿宋" w:hAnsi="仿宋" w:eastAsia="仿宋" w:cs="仿宋"/>
                <w:szCs w:val="21"/>
                <w:lang w:eastAsia="zh-CN"/>
              </w:rPr>
              <w:t>）</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EBEB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投标报价</w:t>
            </w:r>
          </w:p>
          <w:p w14:paraId="5B4E74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（满分30分）</w:t>
            </w:r>
          </w:p>
        </w:tc>
        <w:tc>
          <w:tcPr>
            <w:tcW w:w="6807" w:type="dxa"/>
            <w:tcBorders>
              <w:tl2br w:val="nil"/>
              <w:tr2bl w:val="nil"/>
            </w:tcBorders>
            <w:vAlign w:val="center"/>
          </w:tcPr>
          <w:p w14:paraId="6011D9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投标报价得分=（评标基准价/投标报价）*30</w:t>
            </w:r>
          </w:p>
          <w:p w14:paraId="4E0BC7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评标基准价即经符合性评审合格且投标价格最低的投标报价</w:t>
            </w:r>
          </w:p>
        </w:tc>
      </w:tr>
    </w:tbl>
    <w:p w14:paraId="7E5A7D0C">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422" w:firstLineChars="200"/>
        <w:jc w:val="left"/>
        <w:textAlignment w:val="auto"/>
        <w:rPr>
          <w:rFonts w:hint="eastAsia" w:ascii="楷体" w:hAnsi="楷体" w:eastAsia="楷体" w:cs="楷体"/>
          <w:b/>
          <w:bCs/>
          <w:sz w:val="28"/>
          <w:szCs w:val="28"/>
        </w:rPr>
      </w:pPr>
      <w:r>
        <w:rPr>
          <w:rFonts w:hint="eastAsia" w:ascii="仿宋" w:hAnsi="仿宋" w:eastAsia="仿宋" w:cs="仿宋"/>
          <w:b/>
          <w:szCs w:val="21"/>
          <w:lang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A00731E"/>
    <w:rsid w:val="0D5513A0"/>
    <w:rsid w:val="102E3DB9"/>
    <w:rsid w:val="15D55597"/>
    <w:rsid w:val="172F5A1F"/>
    <w:rsid w:val="1E5E441A"/>
    <w:rsid w:val="25961EB9"/>
    <w:rsid w:val="29F437F5"/>
    <w:rsid w:val="2B0C2172"/>
    <w:rsid w:val="3BC4253C"/>
    <w:rsid w:val="3DA301A8"/>
    <w:rsid w:val="3F6F2444"/>
    <w:rsid w:val="44A83EA2"/>
    <w:rsid w:val="4A7B537E"/>
    <w:rsid w:val="4AE836C7"/>
    <w:rsid w:val="549F610D"/>
    <w:rsid w:val="59FB3706"/>
    <w:rsid w:val="6A4073FC"/>
    <w:rsid w:val="73FB4CB6"/>
    <w:rsid w:val="77274014"/>
    <w:rsid w:val="7A687F0C"/>
    <w:rsid w:val="7B136D89"/>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spacing w:after="0" w:line="360" w:lineRule="auto"/>
      <w:ind w:firstLine="420"/>
      <w:jc w:val="both"/>
    </w:pPr>
    <w:rPr>
      <w:rFonts w:ascii="Times New Roman" w:hAnsi="Times New Roman" w:eastAsia="宋体" w:cs="Times New Roman"/>
      <w:kern w:val="2"/>
      <w:sz w:val="24"/>
      <w:szCs w:val="20"/>
    </w:rPr>
  </w:style>
  <w:style w:type="paragraph" w:styleId="3">
    <w:name w:val="Body Text"/>
    <w:basedOn w:val="1"/>
    <w:next w:val="4"/>
    <w:qFormat/>
    <w:uiPriority w:val="0"/>
    <w:pPr>
      <w:spacing w:after="120"/>
    </w:pPr>
  </w:style>
  <w:style w:type="paragraph" w:customStyle="1" w:styleId="4">
    <w:name w:val="style4"/>
    <w:basedOn w:val="5"/>
    <w:next w:val="7"/>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6"/>
    <w:qFormat/>
    <w:uiPriority w:val="0"/>
    <w:pPr>
      <w:jc w:val="both"/>
    </w:pPr>
    <w:rPr>
      <w:rFonts w:ascii="Times New Roman" w:hAnsi="Times New Roman" w:eastAsia="宋体" w:cs="Times New Roman"/>
      <w:kern w:val="2"/>
      <w:sz w:val="21"/>
      <w:szCs w:val="21"/>
      <w:lang w:val="en-US" w:eastAsia="zh-CN" w:bidi="ar-SA"/>
    </w:rPr>
  </w:style>
  <w:style w:type="paragraph" w:styleId="6">
    <w:name w:val="Body Text First Indent"/>
    <w:basedOn w:val="3"/>
    <w:next w:val="1"/>
    <w:qFormat/>
    <w:uiPriority w:val="0"/>
    <w:pPr>
      <w:ind w:firstLine="420" w:firstLineChars="100"/>
    </w:pPr>
    <w:rPr>
      <w:rFonts w:ascii="Calibri" w:hAnsi="Calibri" w:eastAsia="宋体" w:cs="Times New Roman"/>
      <w:szCs w:val="22"/>
    </w:rPr>
  </w:style>
  <w:style w:type="paragraph" w:customStyle="1" w:styleId="7">
    <w:name w:val="2"/>
    <w:basedOn w:val="1"/>
    <w:next w:val="1"/>
    <w:qFormat/>
    <w:uiPriority w:val="0"/>
    <w:pPr>
      <w:spacing w:line="360" w:lineRule="auto"/>
    </w:pPr>
    <w:rPr>
      <w:rFonts w:ascii="Times New Roman" w:hAnsi="Times New Roman" w:eastAsia="仿宋_GB2312"/>
      <w:sz w:val="28"/>
      <w:szCs w:val="28"/>
    </w:rPr>
  </w:style>
  <w:style w:type="paragraph" w:styleId="8">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2758</Words>
  <Characters>2851</Characters>
  <Lines>0</Lines>
  <Paragraphs>0</Paragraphs>
  <TotalTime>0</TotalTime>
  <ScaleCrop>false</ScaleCrop>
  <LinksUpToDate>false</LinksUpToDate>
  <CharactersWithSpaces>2870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2026-05-29T07:25:56Z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